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2C611C" w14:textId="36DF7EAE" w:rsidR="002A5C94" w:rsidRPr="00CB0F37" w:rsidRDefault="00745EDC" w:rsidP="00607920">
      <w:pPr>
        <w:autoSpaceDE w:val="0"/>
        <w:autoSpaceDN w:val="0"/>
        <w:adjustRightInd w:val="0"/>
        <w:spacing w:before="240" w:line="276" w:lineRule="auto"/>
        <w:ind w:right="-1"/>
        <w:jc w:val="right"/>
        <w:textAlignment w:val="center"/>
        <w:rPr>
          <w:rFonts w:ascii="Times New Roman" w:hAnsi="Times New Roman"/>
          <w:sz w:val="22"/>
          <w:lang w:val="id-ID"/>
        </w:rPr>
      </w:pPr>
      <w:bookmarkStart w:id="0" w:name="_Hlk92788649"/>
      <w:r w:rsidRPr="00F2306B">
        <w:rPr>
          <w:rFonts w:ascii="Times New Roman" w:hAnsi="Times New Roman"/>
          <w:b/>
          <w:sz w:val="24"/>
          <w:szCs w:val="24"/>
          <w:lang w:val="id-ID" w:eastAsia="id-ID"/>
        </w:rPr>
        <w:drawing>
          <wp:anchor distT="0" distB="0" distL="114300" distR="114300" simplePos="0" relativeHeight="251659264" behindDoc="0" locked="0" layoutInCell="1" allowOverlap="1" wp14:anchorId="370B9980" wp14:editId="738A2EEC">
            <wp:simplePos x="0" y="0"/>
            <wp:positionH relativeFrom="margin">
              <wp:align>left</wp:align>
            </wp:positionH>
            <wp:positionV relativeFrom="paragraph">
              <wp:posOffset>79513</wp:posOffset>
            </wp:positionV>
            <wp:extent cx="626110" cy="981075"/>
            <wp:effectExtent l="0" t="0" r="254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ver_Ius.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26110" cy="981075"/>
                    </a:xfrm>
                    <a:prstGeom prst="rect">
                      <a:avLst/>
                    </a:prstGeom>
                  </pic:spPr>
                </pic:pic>
              </a:graphicData>
            </a:graphic>
            <wp14:sizeRelH relativeFrom="margin">
              <wp14:pctWidth>0</wp14:pctWidth>
            </wp14:sizeRelH>
            <wp14:sizeRelV relativeFrom="margin">
              <wp14:pctHeight>0</wp14:pctHeight>
            </wp14:sizeRelV>
          </wp:anchor>
        </w:drawing>
      </w:r>
      <w:r w:rsidR="00E14AAC" w:rsidRPr="00CB0F37">
        <w:rPr>
          <w:rFonts w:ascii="Times New Roman" w:eastAsia="Arial Unicode MS" w:hAnsi="Times New Roman"/>
          <w:b/>
          <w:bCs/>
          <w:color w:val="212121"/>
          <w:sz w:val="24"/>
          <w:szCs w:val="24"/>
          <w:lang w:val="id-ID" w:eastAsia="id-ID"/>
        </w:rPr>
        <mc:AlternateContent>
          <mc:Choice Requires="wps">
            <w:drawing>
              <wp:anchor distT="0" distB="0" distL="114300" distR="114300" simplePos="0" relativeHeight="251653120" behindDoc="0" locked="0" layoutInCell="1" allowOverlap="1" wp14:anchorId="4DF37E30" wp14:editId="30DA0430">
                <wp:simplePos x="0" y="0"/>
                <wp:positionH relativeFrom="margin">
                  <wp:posOffset>-1905</wp:posOffset>
                </wp:positionH>
                <wp:positionV relativeFrom="paragraph">
                  <wp:posOffset>-3810</wp:posOffset>
                </wp:positionV>
                <wp:extent cx="501967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501967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line w14:anchorId="59788B8C" id="Straight Connector 3" o:spid="_x0000_s1026" style="position:absolute;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3pt" to="395.1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" strokecolor="black [3200]" strokeweight="1pt">
                <v:stroke joinstyle="miter"/>
                <w10:wrap anchorx="margin"/>
              </v:line>
            </w:pict>
          </mc:Fallback>
        </mc:AlternateContent>
      </w:r>
      <w:r w:rsidR="00E14AAC" w:rsidRPr="00CB0F37">
        <w:rPr>
          <w:rFonts w:ascii="Times New Roman" w:hAnsi="Times New Roman"/>
          <w:sz w:val="22"/>
        </w:rPr>
        <w:t>ISSN 2964-3902 (Online)</w:t>
      </w:r>
    </w:p>
    <w:p w14:paraId="126904FA" w14:textId="6EE93FFE" w:rsidR="00E14AAC" w:rsidRPr="00CB0F37" w:rsidRDefault="00E14AAC" w:rsidP="00607920">
      <w:pPr>
        <w:tabs>
          <w:tab w:val="left" w:pos="6900"/>
        </w:tabs>
        <w:spacing w:line="276" w:lineRule="auto"/>
        <w:ind w:left="-102" w:firstLine="102"/>
        <w:jc w:val="right"/>
        <w:outlineLvl w:val="1"/>
        <w:rPr>
          <w:rFonts w:ascii="Times New Roman" w:eastAsia="Times New Roman" w:hAnsi="Times New Roman"/>
          <w:b/>
          <w:bCs/>
          <w:color w:val="111111"/>
          <w:sz w:val="24"/>
          <w:szCs w:val="24"/>
        </w:rPr>
      </w:pPr>
      <w:r w:rsidRPr="00CB0F37">
        <w:rPr>
          <w:rFonts w:ascii="Times New Roman" w:eastAsia="Times New Roman" w:hAnsi="Times New Roman"/>
          <w:b/>
          <w:bCs/>
          <w:color w:val="111111"/>
          <w:sz w:val="24"/>
          <w:szCs w:val="24"/>
        </w:rPr>
        <w:t>SUJANA</w:t>
      </w:r>
      <w:r w:rsidR="00D91E9A" w:rsidRPr="00CB0F37">
        <w:rPr>
          <w:rFonts w:ascii="Times New Roman" w:eastAsia="Times New Roman" w:hAnsi="Times New Roman"/>
          <w:b/>
          <w:bCs/>
          <w:color w:val="111111"/>
          <w:sz w:val="24"/>
          <w:szCs w:val="24"/>
        </w:rPr>
        <w:t xml:space="preserve">: </w:t>
      </w:r>
      <w:r w:rsidRPr="00CB0F37">
        <w:rPr>
          <w:rFonts w:ascii="Times New Roman" w:eastAsia="Times New Roman" w:hAnsi="Times New Roman"/>
          <w:b/>
          <w:bCs/>
          <w:color w:val="111111"/>
          <w:sz w:val="24"/>
          <w:szCs w:val="24"/>
        </w:rPr>
        <w:t>Journal of Education and Learning Review</w:t>
      </w:r>
    </w:p>
    <w:p w14:paraId="7DFCE3EC" w14:textId="1979061A" w:rsidR="00572563" w:rsidRPr="00CB0F37" w:rsidRDefault="004A04A1" w:rsidP="00607920">
      <w:pPr>
        <w:tabs>
          <w:tab w:val="left" w:pos="6900"/>
        </w:tabs>
        <w:spacing w:line="276" w:lineRule="auto"/>
        <w:ind w:left="-102" w:firstLine="102"/>
        <w:jc w:val="right"/>
        <w:outlineLvl w:val="1"/>
        <w:rPr>
          <w:rFonts w:ascii="Times New Roman" w:eastAsia="Times New Roman" w:hAnsi="Times New Roman"/>
          <w:b/>
          <w:bCs/>
          <w:color w:val="111111"/>
          <w:sz w:val="24"/>
          <w:szCs w:val="24"/>
        </w:rPr>
      </w:pPr>
      <w:hyperlink r:id="rId9" w:history="1">
        <w:r w:rsidR="00E14AAC" w:rsidRPr="00CB0F37">
          <w:rPr>
            <w:rStyle w:val="Hyperlink"/>
            <w:rFonts w:ascii="Times New Roman" w:hAnsi="Times New Roman"/>
            <w:sz w:val="22"/>
          </w:rPr>
          <w:t>https://journal.jfpublisher.com/index.php/sujana</w:t>
        </w:r>
      </w:hyperlink>
    </w:p>
    <w:p w14:paraId="69C0CD24" w14:textId="3A33BB5A" w:rsidR="002A5C94" w:rsidRPr="00CB0F37" w:rsidRDefault="0081190E" w:rsidP="00607920">
      <w:pPr>
        <w:tabs>
          <w:tab w:val="left" w:pos="6900"/>
        </w:tabs>
        <w:spacing w:line="276" w:lineRule="auto"/>
        <w:jc w:val="right"/>
        <w:outlineLvl w:val="1"/>
        <w:rPr>
          <w:rFonts w:ascii="Times New Roman" w:eastAsia="Times New Roman" w:hAnsi="Times New Roman"/>
          <w:color w:val="111111"/>
          <w:sz w:val="22"/>
          <w:lang w:val="id-ID"/>
        </w:rPr>
      </w:pPr>
      <w:r w:rsidRPr="00CB0F37">
        <w:rPr>
          <w:rFonts w:ascii="Times New Roman" w:eastAsia="Times New Roman" w:hAnsi="Times New Roman"/>
          <w:color w:val="111111"/>
          <w:sz w:val="22"/>
        </w:rPr>
        <w:t>Vol</w:t>
      </w:r>
      <w:r w:rsidRPr="00CB0F37">
        <w:rPr>
          <w:rFonts w:ascii="Times New Roman" w:eastAsia="Times New Roman" w:hAnsi="Times New Roman"/>
          <w:color w:val="111111"/>
          <w:sz w:val="22"/>
          <w:lang w:val="id-ID"/>
        </w:rPr>
        <w:t>.</w:t>
      </w:r>
      <w:r w:rsidRPr="00CB0F37">
        <w:rPr>
          <w:rFonts w:ascii="Times New Roman" w:eastAsia="Times New Roman" w:hAnsi="Times New Roman"/>
          <w:color w:val="111111"/>
          <w:sz w:val="22"/>
        </w:rPr>
        <w:t xml:space="preserve"> </w:t>
      </w:r>
      <w:r w:rsidR="00890FB7">
        <w:rPr>
          <w:rFonts w:ascii="Times New Roman" w:eastAsia="Times New Roman" w:hAnsi="Times New Roman"/>
          <w:color w:val="111111"/>
          <w:sz w:val="22"/>
        </w:rPr>
        <w:t>5</w:t>
      </w:r>
      <w:r w:rsidRPr="00CB0F37">
        <w:rPr>
          <w:rFonts w:ascii="Times New Roman" w:eastAsia="Times New Roman" w:hAnsi="Times New Roman"/>
          <w:color w:val="111111"/>
          <w:sz w:val="22"/>
        </w:rPr>
        <w:t>, Issue</w:t>
      </w:r>
      <w:r w:rsidRPr="00CB0F37">
        <w:rPr>
          <w:rFonts w:ascii="Times New Roman" w:eastAsia="Times New Roman" w:hAnsi="Times New Roman"/>
          <w:color w:val="111111"/>
          <w:sz w:val="22"/>
          <w:lang w:val="id-ID"/>
        </w:rPr>
        <w:t>.</w:t>
      </w:r>
      <w:r w:rsidRPr="00CB0F37">
        <w:rPr>
          <w:rFonts w:ascii="Times New Roman" w:eastAsia="Times New Roman" w:hAnsi="Times New Roman"/>
          <w:color w:val="111111"/>
          <w:sz w:val="22"/>
        </w:rPr>
        <w:t xml:space="preserve"> </w:t>
      </w:r>
      <w:r w:rsidR="00A70075">
        <w:rPr>
          <w:rFonts w:ascii="Times New Roman" w:eastAsia="Times New Roman" w:hAnsi="Times New Roman"/>
          <w:color w:val="111111"/>
          <w:sz w:val="22"/>
        </w:rPr>
        <w:t>3</w:t>
      </w:r>
      <w:r w:rsidRPr="00CB0F37">
        <w:rPr>
          <w:rFonts w:ascii="Times New Roman" w:eastAsia="Times New Roman" w:hAnsi="Times New Roman"/>
          <w:color w:val="111111"/>
          <w:sz w:val="22"/>
        </w:rPr>
        <w:t xml:space="preserve">, </w:t>
      </w:r>
      <w:r w:rsidRPr="00CB0F37">
        <w:rPr>
          <w:rFonts w:ascii="Times New Roman" w:eastAsia="Times New Roman" w:hAnsi="Times New Roman"/>
          <w:color w:val="111111"/>
          <w:sz w:val="22"/>
          <w:lang w:val="id-ID"/>
        </w:rPr>
        <w:t>(</w:t>
      </w:r>
      <w:r w:rsidRPr="00CB0F37">
        <w:rPr>
          <w:rFonts w:ascii="Times New Roman" w:eastAsia="Times New Roman" w:hAnsi="Times New Roman"/>
          <w:color w:val="111111"/>
          <w:sz w:val="22"/>
        </w:rPr>
        <w:t>202</w:t>
      </w:r>
      <w:r w:rsidR="00890FB7">
        <w:rPr>
          <w:rFonts w:ascii="Times New Roman" w:eastAsia="Times New Roman" w:hAnsi="Times New Roman"/>
          <w:color w:val="111111"/>
          <w:sz w:val="22"/>
        </w:rPr>
        <w:t>6</w:t>
      </w:r>
      <w:r w:rsidRPr="00CB0F37">
        <w:rPr>
          <w:rFonts w:ascii="Times New Roman" w:eastAsia="Times New Roman" w:hAnsi="Times New Roman"/>
          <w:color w:val="111111"/>
          <w:sz w:val="22"/>
          <w:lang w:val="id-ID"/>
        </w:rPr>
        <w:t>)</w:t>
      </w:r>
    </w:p>
    <w:bookmarkEnd w:id="0"/>
    <w:p w14:paraId="248ADA63" w14:textId="7AC8F1DD" w:rsidR="004C5872" w:rsidRPr="00E611F4" w:rsidRDefault="00A70075" w:rsidP="00607920">
      <w:pPr>
        <w:autoSpaceDE w:val="0"/>
        <w:autoSpaceDN w:val="0"/>
        <w:adjustRightInd w:val="0"/>
        <w:spacing w:line="276" w:lineRule="auto"/>
        <w:ind w:left="-102" w:firstLine="102"/>
        <w:jc w:val="right"/>
        <w:textAlignment w:val="center"/>
        <w:rPr>
          <w:rFonts w:ascii="Times New Roman" w:hAnsi="Times New Roman"/>
          <w:b/>
          <w:bCs/>
          <w:color w:val="212121"/>
          <w:sz w:val="22"/>
          <w:u w:color="0000FF"/>
        </w:rPr>
      </w:pPr>
      <w:r>
        <w:rPr>
          <w:rFonts w:ascii="Times New Roman" w:eastAsia="Arial Unicode MS" w:hAnsi="Times New Roman"/>
          <w:bCs/>
          <w:color w:val="212121"/>
          <w:sz w:val="22"/>
          <w:szCs w:val="28"/>
          <w:u w:color="0000FF"/>
          <w:shd w:val="clear" w:color="auto" w:fill="FFFFFF"/>
        </w:rPr>
        <w:fldChar w:fldCharType="begin"/>
      </w:r>
      <w:r>
        <w:rPr>
          <w:rFonts w:ascii="Times New Roman" w:eastAsia="Arial Unicode MS" w:hAnsi="Times New Roman"/>
          <w:bCs/>
          <w:color w:val="212121"/>
          <w:sz w:val="22"/>
          <w:szCs w:val="28"/>
          <w:u w:color="0000FF"/>
          <w:shd w:val="clear" w:color="auto" w:fill="FFFFFF"/>
        </w:rPr>
        <w:instrText xml:space="preserve"> HYPERLINK "https://</w:instrText>
      </w:r>
      <w:r w:rsidRPr="00A70075">
        <w:rPr>
          <w:rFonts w:ascii="Times New Roman" w:eastAsia="Arial Unicode MS" w:hAnsi="Times New Roman"/>
          <w:bCs/>
          <w:color w:val="212121"/>
          <w:sz w:val="22"/>
          <w:szCs w:val="28"/>
          <w:u w:color="0000FF"/>
          <w:shd w:val="clear" w:color="auto" w:fill="FFFFFF"/>
        </w:rPr>
        <w:instrText>doi.org/10.56943/sujana.v5i</w:instrText>
      </w:r>
      <w:r>
        <w:rPr>
          <w:rFonts w:ascii="Times New Roman" w:eastAsia="Arial Unicode MS" w:hAnsi="Times New Roman"/>
          <w:bCs/>
          <w:color w:val="212121"/>
          <w:sz w:val="22"/>
          <w:szCs w:val="28"/>
          <w:u w:color="0000FF"/>
          <w:shd w:val="clear" w:color="auto" w:fill="FFFFFF"/>
        </w:rPr>
        <w:instrText>3</w:instrText>
      </w:r>
      <w:r w:rsidRPr="00A70075">
        <w:rPr>
          <w:rFonts w:ascii="Times New Roman" w:eastAsia="Arial Unicode MS" w:hAnsi="Times New Roman"/>
          <w:bCs/>
          <w:color w:val="212121"/>
          <w:sz w:val="22"/>
          <w:szCs w:val="28"/>
          <w:u w:color="0000FF"/>
          <w:shd w:val="clear" w:color="auto" w:fill="FFFFFF"/>
        </w:rPr>
        <w:instrText>.1029</w:instrText>
      </w:r>
      <w:r>
        <w:rPr>
          <w:rFonts w:ascii="Times New Roman" w:eastAsia="Arial Unicode MS" w:hAnsi="Times New Roman"/>
          <w:bCs/>
          <w:color w:val="212121"/>
          <w:sz w:val="22"/>
          <w:szCs w:val="28"/>
          <w:u w:color="0000FF"/>
          <w:shd w:val="clear" w:color="auto" w:fill="FFFFFF"/>
        </w:rPr>
        <w:instrText xml:space="preserve">" </w:instrText>
      </w:r>
      <w:r>
        <w:rPr>
          <w:rFonts w:ascii="Times New Roman" w:eastAsia="Arial Unicode MS" w:hAnsi="Times New Roman"/>
          <w:bCs/>
          <w:color w:val="212121"/>
          <w:sz w:val="22"/>
          <w:szCs w:val="28"/>
          <w:u w:color="0000FF"/>
          <w:shd w:val="clear" w:color="auto" w:fill="FFFFFF"/>
        </w:rPr>
        <w:fldChar w:fldCharType="separate"/>
      </w:r>
      <w:r w:rsidRPr="00EE2C49">
        <w:rPr>
          <w:rStyle w:val="Hyperlink"/>
          <w:rFonts w:ascii="Times New Roman" w:eastAsia="Arial Unicode MS" w:hAnsi="Times New Roman"/>
          <w:bCs/>
          <w:sz w:val="22"/>
          <w:szCs w:val="28"/>
          <w:shd w:val="clear" w:color="auto" w:fill="FFFFFF"/>
        </w:rPr>
        <w:t>doi.org/10.56943/sujana.v5i3.1029</w:t>
      </w:r>
      <w:r>
        <w:rPr>
          <w:rFonts w:ascii="Times New Roman" w:eastAsia="Arial Unicode MS" w:hAnsi="Times New Roman"/>
          <w:bCs/>
          <w:color w:val="212121"/>
          <w:sz w:val="22"/>
          <w:szCs w:val="28"/>
          <w:u w:color="0000FF"/>
          <w:shd w:val="clear" w:color="auto" w:fill="FFFFFF"/>
        </w:rPr>
        <w:fldChar w:fldCharType="end"/>
      </w:r>
    </w:p>
    <w:p w14:paraId="7DE8C88D" w14:textId="674E5D8B" w:rsidR="00466FC5" w:rsidRPr="00CB0F37" w:rsidRDefault="00D91E9A" w:rsidP="00852520">
      <w:pPr>
        <w:rPr>
          <w:rFonts w:ascii="Times New Roman" w:hAnsi="Times New Roman"/>
          <w:b/>
          <w:bCs/>
          <w:sz w:val="22"/>
        </w:rPr>
      </w:pPr>
      <w:r w:rsidRPr="00CB0F37">
        <w:rPr>
          <w:rStyle w:val="Hyperlink"/>
          <w:rFonts w:ascii="Times New Roman" w:hAnsi="Times New Roman"/>
          <w:b/>
          <w:bCs/>
          <w:sz w:val="22"/>
          <w:lang w:val="id-ID" w:eastAsia="id-ID"/>
        </w:rPr>
        <mc:AlternateContent>
          <mc:Choice Requires="wps">
            <w:drawing>
              <wp:anchor distT="0" distB="0" distL="114300" distR="114300" simplePos="0" relativeHeight="251652096" behindDoc="0" locked="0" layoutInCell="1" allowOverlap="1" wp14:anchorId="2995C454" wp14:editId="121F6861">
                <wp:simplePos x="0" y="0"/>
                <wp:positionH relativeFrom="margin">
                  <wp:align>left</wp:align>
                </wp:positionH>
                <wp:positionV relativeFrom="paragraph">
                  <wp:posOffset>76200</wp:posOffset>
                </wp:positionV>
                <wp:extent cx="5019675" cy="0"/>
                <wp:effectExtent l="0" t="19050" r="28575" b="19050"/>
                <wp:wrapNone/>
                <wp:docPr id="5" name="Straight Connector 5"/>
                <wp:cNvGraphicFramePr/>
                <a:graphic xmlns:a="http://schemas.openxmlformats.org/drawingml/2006/main">
                  <a:graphicData uri="http://schemas.microsoft.com/office/word/2010/wordprocessingShape">
                    <wps:wsp>
                      <wps:cNvCnPr/>
                      <wps:spPr>
                        <a:xfrm>
                          <a:off x="0" y="0"/>
                          <a:ext cx="5019675"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line w14:anchorId="177029A0" id="Straight Connector 5" o:spid="_x0000_s1026" style="position:absolute;z-index:2516520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pt" to="395.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" strokecolor="black [3200]" strokeweight="2.25pt">
                <v:stroke joinstyle="miter"/>
                <w10:wrap anchorx="margin"/>
              </v:line>
            </w:pict>
          </mc:Fallback>
        </mc:AlternateContent>
      </w:r>
    </w:p>
    <w:p w14:paraId="2E364E56" w14:textId="77777777" w:rsidR="00FE3B38" w:rsidRPr="00CB0F37" w:rsidRDefault="00FE3B38" w:rsidP="00FE3B38">
      <w:pPr>
        <w:spacing w:line="276" w:lineRule="auto"/>
        <w:ind w:left="-102" w:firstLine="102"/>
        <w:rPr>
          <w:rFonts w:ascii="Times New Roman" w:eastAsia="Times New Roman" w:hAnsi="Times New Roman"/>
          <w:b/>
          <w:color w:val="212121"/>
          <w:sz w:val="28"/>
          <w:szCs w:val="28"/>
        </w:rPr>
      </w:pPr>
    </w:p>
    <w:p w14:paraId="52148208" w14:textId="144E9FD6" w:rsidR="003B6194" w:rsidRPr="00897B7E" w:rsidRDefault="00FB7B23" w:rsidP="00FB7B23">
      <w:pPr>
        <w:spacing w:line="276" w:lineRule="auto"/>
        <w:ind w:left="-102" w:firstLine="102"/>
        <w:rPr>
          <w:rFonts w:ascii="Times New Roman" w:eastAsia="Times New Roman" w:hAnsi="Times New Roman"/>
          <w:sz w:val="28"/>
          <w:szCs w:val="28"/>
        </w:rPr>
      </w:pPr>
      <w:bookmarkStart w:id="1" w:name="_Hlk233531319"/>
      <w:r w:rsidRPr="00FB7B23">
        <w:rPr>
          <w:rFonts w:ascii="Times New Roman" w:eastAsia="Times New Roman" w:hAnsi="Times New Roman"/>
          <w:b/>
          <w:bCs/>
          <w:iCs/>
          <w:sz w:val="28"/>
          <w:szCs w:val="28"/>
        </w:rPr>
        <w:t>Digital Portfolio Assessment in Writing Learning under the Merdeka</w:t>
      </w:r>
      <w:bookmarkEnd w:id="1"/>
      <w:r w:rsidRPr="00FB7B23">
        <w:rPr>
          <w:rFonts w:ascii="Times New Roman" w:eastAsia="Times New Roman" w:hAnsi="Times New Roman"/>
          <w:b/>
          <w:bCs/>
          <w:iCs/>
          <w:sz w:val="28"/>
          <w:szCs w:val="28"/>
        </w:rPr>
        <w:t xml:space="preserve"> Curriculum</w:t>
      </w:r>
    </w:p>
    <w:p w14:paraId="74638889" w14:textId="77777777" w:rsidR="00466FC5" w:rsidRPr="00CB0F37" w:rsidRDefault="00466FC5" w:rsidP="00852520">
      <w:pPr>
        <w:rPr>
          <w:rFonts w:ascii="Times New Roman" w:hAnsi="Times New Roman"/>
          <w:sz w:val="22"/>
        </w:rPr>
      </w:pPr>
    </w:p>
    <w:p w14:paraId="12741A34" w14:textId="77777777" w:rsidR="00FE3B38" w:rsidRPr="00CB0F37" w:rsidRDefault="00FE3B38" w:rsidP="00852520">
      <w:pPr>
        <w:rPr>
          <w:rFonts w:ascii="Times New Roman" w:hAnsi="Times New Roman"/>
          <w:sz w:val="22"/>
        </w:rPr>
      </w:pPr>
    </w:p>
    <w:p w14:paraId="777FEDAD" w14:textId="6BB56B65" w:rsidR="00E2505E" w:rsidRPr="00890FB7" w:rsidRDefault="00E2505E" w:rsidP="00E2505E">
      <w:pPr>
        <w:rPr>
          <w:rFonts w:ascii="Times New Roman" w:hAnsi="Times New Roman"/>
          <w:b/>
          <w:bCs/>
          <w:sz w:val="22"/>
          <w:vertAlign w:val="superscript"/>
        </w:rPr>
      </w:pPr>
      <w:bookmarkStart w:id="2" w:name="_Hlk222737893"/>
      <w:r w:rsidRPr="004367E7">
        <w:rPr>
          <w:rFonts w:ascii="Times New Roman" w:hAnsi="Times New Roman"/>
          <w:b/>
          <w:bCs/>
          <w:sz w:val="22"/>
        </w:rPr>
        <w:t>Zamratul Ain</w:t>
      </w:r>
      <w:r w:rsidRPr="004367E7">
        <w:rPr>
          <w:rFonts w:ascii="Times New Roman" w:hAnsi="Times New Roman"/>
          <w:b/>
          <w:bCs/>
          <w:sz w:val="22"/>
          <w:vertAlign w:val="superscript"/>
        </w:rPr>
        <w:t>1*</w:t>
      </w:r>
      <w:r w:rsidRPr="004367E7">
        <w:rPr>
          <w:rFonts w:ascii="Times New Roman" w:hAnsi="Times New Roman"/>
          <w:b/>
          <w:bCs/>
          <w:sz w:val="22"/>
        </w:rPr>
        <w:t xml:space="preserve">, </w:t>
      </w:r>
      <w:r w:rsidRPr="00E2505E">
        <w:rPr>
          <w:rFonts w:ascii="Times New Roman" w:hAnsi="Times New Roman"/>
          <w:b/>
          <w:bCs/>
          <w:sz w:val="22"/>
        </w:rPr>
        <w:t>Abdurahman</w:t>
      </w:r>
      <w:r w:rsidRPr="004367E7">
        <w:rPr>
          <w:rFonts w:ascii="Times New Roman" w:hAnsi="Times New Roman"/>
          <w:b/>
          <w:bCs/>
          <w:sz w:val="22"/>
          <w:vertAlign w:val="superscript"/>
        </w:rPr>
        <w:t>2</w:t>
      </w:r>
      <w:r w:rsidRPr="004367E7">
        <w:rPr>
          <w:rFonts w:ascii="Times New Roman" w:hAnsi="Times New Roman"/>
          <w:b/>
          <w:bCs/>
          <w:sz w:val="22"/>
        </w:rPr>
        <w:t xml:space="preserve">, </w:t>
      </w:r>
      <w:r>
        <w:rPr>
          <w:rFonts w:ascii="Times New Roman" w:hAnsi="Times New Roman"/>
          <w:b/>
          <w:bCs/>
          <w:sz w:val="22"/>
        </w:rPr>
        <w:t>Amril Amir</w:t>
      </w:r>
      <w:r w:rsidRPr="004367E7">
        <w:rPr>
          <w:rFonts w:ascii="Times New Roman" w:hAnsi="Times New Roman"/>
          <w:b/>
          <w:bCs/>
          <w:sz w:val="22"/>
          <w:vertAlign w:val="superscript"/>
        </w:rPr>
        <w:t>3</w:t>
      </w:r>
    </w:p>
    <w:p w14:paraId="01CE1065" w14:textId="13DB2FD5" w:rsidR="00E2505E" w:rsidRPr="00890FB7" w:rsidRDefault="00E2505E" w:rsidP="00E2505E">
      <w:pPr>
        <w:rPr>
          <w:rFonts w:ascii="Times New Roman" w:hAnsi="Times New Roman"/>
          <w:sz w:val="22"/>
        </w:rPr>
      </w:pPr>
      <w:bookmarkStart w:id="3" w:name="_Hlk222737944"/>
      <w:r>
        <w:rPr>
          <w:rFonts w:ascii="Times New Roman" w:hAnsi="Times New Roman"/>
          <w:sz w:val="22"/>
          <w:vertAlign w:val="superscript"/>
        </w:rPr>
        <w:t>1</w:t>
      </w:r>
      <w:hyperlink r:id="rId10" w:history="1">
        <w:r w:rsidRPr="002F0BE9">
          <w:rPr>
            <w:rStyle w:val="Hyperlink"/>
            <w:rFonts w:ascii="Times New Roman" w:hAnsi="Times New Roman"/>
            <w:sz w:val="22"/>
          </w:rPr>
          <w:t>zamratulain025@gmail.com</w:t>
        </w:r>
      </w:hyperlink>
      <w:r>
        <w:rPr>
          <w:rFonts w:ascii="Times New Roman" w:hAnsi="Times New Roman"/>
          <w:sz w:val="22"/>
        </w:rPr>
        <w:t>,</w:t>
      </w:r>
      <w:r w:rsidRPr="00890FB7">
        <w:rPr>
          <w:rFonts w:ascii="Times New Roman" w:hAnsi="Times New Roman"/>
          <w:sz w:val="22"/>
        </w:rPr>
        <w:t xml:space="preserve"> </w:t>
      </w:r>
      <w:r>
        <w:rPr>
          <w:rFonts w:ascii="Times New Roman" w:hAnsi="Times New Roman"/>
          <w:sz w:val="22"/>
          <w:vertAlign w:val="superscript"/>
        </w:rPr>
        <w:t>2</w:t>
      </w:r>
      <w:hyperlink r:id="rId11" w:history="1">
        <w:r w:rsidRPr="00E2505E">
          <w:rPr>
            <w:rStyle w:val="Hyperlink"/>
            <w:rFonts w:ascii="Times New Roman" w:hAnsi="Times New Roman"/>
            <w:sz w:val="22"/>
          </w:rPr>
          <w:t>abdurahman@fbs.unp.ac.id</w:t>
        </w:r>
      </w:hyperlink>
      <w:r>
        <w:rPr>
          <w:rFonts w:ascii="Times New Roman" w:hAnsi="Times New Roman"/>
          <w:sz w:val="22"/>
        </w:rPr>
        <w:t xml:space="preserve">, </w:t>
      </w:r>
      <w:r>
        <w:rPr>
          <w:rFonts w:ascii="Times New Roman" w:hAnsi="Times New Roman"/>
          <w:sz w:val="22"/>
          <w:vertAlign w:val="superscript"/>
        </w:rPr>
        <w:t>3</w:t>
      </w:r>
      <w:bookmarkEnd w:id="3"/>
      <w:r>
        <w:rPr>
          <w:rFonts w:ascii="Times New Roman" w:hAnsi="Times New Roman"/>
          <w:sz w:val="22"/>
          <w:u w:color="0000FF"/>
        </w:rPr>
        <w:fldChar w:fldCharType="begin"/>
      </w:r>
      <w:r>
        <w:rPr>
          <w:rFonts w:ascii="Times New Roman" w:hAnsi="Times New Roman"/>
          <w:sz w:val="22"/>
          <w:u w:color="0000FF"/>
        </w:rPr>
        <w:instrText xml:space="preserve"> HYPERLINK "mailto:</w:instrText>
      </w:r>
      <w:r w:rsidRPr="00E2505E">
        <w:rPr>
          <w:rFonts w:ascii="Times New Roman" w:hAnsi="Times New Roman"/>
          <w:sz w:val="22"/>
          <w:u w:color="0000FF"/>
        </w:rPr>
        <w:instrText>amril.amir@fbs.unp.ac.id</w:instrText>
      </w:r>
      <w:r>
        <w:rPr>
          <w:rFonts w:ascii="Times New Roman" w:hAnsi="Times New Roman"/>
          <w:sz w:val="22"/>
          <w:u w:color="0000FF"/>
        </w:rPr>
        <w:instrText xml:space="preserve">" </w:instrText>
      </w:r>
      <w:r>
        <w:rPr>
          <w:rFonts w:ascii="Times New Roman" w:hAnsi="Times New Roman"/>
          <w:sz w:val="22"/>
          <w:u w:color="0000FF"/>
        </w:rPr>
        <w:fldChar w:fldCharType="separate"/>
      </w:r>
      <w:r w:rsidRPr="009A1C4C">
        <w:rPr>
          <w:rStyle w:val="Hyperlink"/>
          <w:rFonts w:ascii="Times New Roman" w:hAnsi="Times New Roman"/>
          <w:sz w:val="22"/>
        </w:rPr>
        <w:t>amril.amir@fbs.unp.ac.id</w:t>
      </w:r>
      <w:r>
        <w:rPr>
          <w:rFonts w:ascii="Times New Roman" w:hAnsi="Times New Roman"/>
          <w:sz w:val="22"/>
          <w:u w:color="0000FF"/>
        </w:rPr>
        <w:fldChar w:fldCharType="end"/>
      </w:r>
    </w:p>
    <w:bookmarkEnd w:id="2"/>
    <w:p w14:paraId="04029F9E" w14:textId="5957A09F" w:rsidR="00DA5C36" w:rsidRDefault="00E2505E" w:rsidP="00E2505E">
      <w:pPr>
        <w:rPr>
          <w:rFonts w:ascii="Times New Roman" w:hAnsi="Times New Roman"/>
          <w:sz w:val="22"/>
        </w:rPr>
      </w:pPr>
      <w:r>
        <w:rPr>
          <w:rFonts w:ascii="Times New Roman" w:hAnsi="Times New Roman"/>
          <w:sz w:val="22"/>
        </w:rPr>
        <w:t>Universitas Negeri Padang</w:t>
      </w:r>
    </w:p>
    <w:p w14:paraId="15EBB077" w14:textId="77777777" w:rsidR="00DA5C36" w:rsidRPr="00CB0F37" w:rsidRDefault="00DA5C36" w:rsidP="00DA5C36">
      <w:pPr>
        <w:rPr>
          <w:rFonts w:ascii="Times New Roman" w:hAnsi="Times New Roman"/>
          <w:sz w:val="22"/>
        </w:rPr>
      </w:pPr>
    </w:p>
    <w:p w14:paraId="248CCBDC" w14:textId="4C6C4C5D" w:rsidR="00FF4F40" w:rsidRPr="00CB0F37" w:rsidRDefault="00FF4F40" w:rsidP="00FF4F40">
      <w:pPr>
        <w:autoSpaceDE w:val="0"/>
        <w:autoSpaceDN w:val="0"/>
        <w:adjustRightInd w:val="0"/>
        <w:ind w:left="-102" w:firstLine="102"/>
        <w:textAlignment w:val="center"/>
        <w:rPr>
          <w:rFonts w:ascii="Times New Roman" w:hAnsi="Times New Roman"/>
          <w:sz w:val="22"/>
          <w:lang w:val="id-ID"/>
        </w:rPr>
      </w:pPr>
      <w:r w:rsidRPr="00CB0F37">
        <w:rPr>
          <w:rFonts w:ascii="Times New Roman" w:hAnsi="Times New Roman"/>
          <w:sz w:val="22"/>
        </w:rPr>
        <w:t xml:space="preserve">*Corresponding Author: </w:t>
      </w:r>
      <w:r w:rsidR="00E2505E">
        <w:rPr>
          <w:rFonts w:ascii="Times New Roman" w:hAnsi="Times New Roman"/>
          <w:bCs/>
          <w:iCs/>
          <w:sz w:val="22"/>
        </w:rPr>
        <w:t>Zamratul Ain</w:t>
      </w:r>
    </w:p>
    <w:p w14:paraId="03887212" w14:textId="20306C7C" w:rsidR="00FF4F40" w:rsidRPr="00CB0F37" w:rsidRDefault="00FF4F40" w:rsidP="00E2505E">
      <w:pPr>
        <w:rPr>
          <w:rFonts w:ascii="Times New Roman" w:hAnsi="Times New Roman"/>
          <w:sz w:val="22"/>
        </w:rPr>
      </w:pPr>
      <w:r w:rsidRPr="00CB0F37">
        <w:rPr>
          <w:rFonts w:ascii="Times New Roman" w:hAnsi="Times New Roman"/>
          <w:sz w:val="22"/>
        </w:rPr>
        <w:t>Email:</w:t>
      </w:r>
      <w:r w:rsidR="00E2505E">
        <w:rPr>
          <w:rFonts w:ascii="Times New Roman" w:hAnsi="Times New Roman"/>
          <w:sz w:val="22"/>
        </w:rPr>
        <w:t xml:space="preserve"> </w:t>
      </w:r>
      <w:hyperlink r:id="rId12" w:history="1">
        <w:r w:rsidR="00E2505E" w:rsidRPr="00E2505E">
          <w:rPr>
            <w:rStyle w:val="Hyperlink"/>
            <w:rFonts w:ascii="Times New Roman" w:hAnsi="Times New Roman"/>
            <w:sz w:val="22"/>
          </w:rPr>
          <w:t>zamratulain025@gmail.com</w:t>
        </w:r>
      </w:hyperlink>
    </w:p>
    <w:p w14:paraId="275E58AE" w14:textId="77777777" w:rsidR="00813ED0" w:rsidRPr="00CB0F37" w:rsidRDefault="00813ED0" w:rsidP="00852520">
      <w:pPr>
        <w:rPr>
          <w:rFonts w:ascii="Times New Roman" w:hAnsi="Times New Roman"/>
          <w:sz w:val="22"/>
          <w:lang w:val="id-ID"/>
        </w:rPr>
      </w:pPr>
    </w:p>
    <w:p w14:paraId="4309EC06" w14:textId="77777777" w:rsidR="000D7B7E" w:rsidRDefault="000D7B7E" w:rsidP="000D7B7E">
      <w:pPr>
        <w:rPr>
          <w:rFonts w:ascii="Times New Roman" w:hAnsi="Times New Roman"/>
          <w:b/>
          <w:bCs/>
          <w:sz w:val="24"/>
          <w:szCs w:val="24"/>
          <w:lang w:val="id-ID"/>
        </w:rPr>
      </w:pPr>
    </w:p>
    <w:p w14:paraId="26FBAF00" w14:textId="1DB4FAE5" w:rsidR="000D7B7E" w:rsidRPr="00CB0F37" w:rsidRDefault="0081190E" w:rsidP="000D7B7E">
      <w:pPr>
        <w:spacing w:after="240"/>
        <w:rPr>
          <w:rFonts w:ascii="Times New Roman" w:hAnsi="Times New Roman"/>
          <w:b/>
          <w:bCs/>
          <w:sz w:val="24"/>
          <w:szCs w:val="24"/>
          <w:lang w:val="id-ID"/>
        </w:rPr>
      </w:pPr>
      <w:r w:rsidRPr="00CB0F37">
        <w:rPr>
          <w:rFonts w:ascii="Times New Roman" w:hAnsi="Times New Roman"/>
          <w:b/>
          <w:bCs/>
          <w:sz w:val="24"/>
          <w:szCs w:val="24"/>
          <w:lang w:val="id-ID"/>
        </w:rPr>
        <w:t>ABSTRACT</w:t>
      </w:r>
    </w:p>
    <w:p w14:paraId="7C9C297A" w14:textId="31CD008E" w:rsidR="002950ED" w:rsidRPr="00CB0F37" w:rsidRDefault="00FB7B23" w:rsidP="00FB7B23">
      <w:pPr>
        <w:spacing w:before="240"/>
        <w:jc w:val="both"/>
        <w:rPr>
          <w:rFonts w:ascii="Times New Roman" w:eastAsia="Times New Roman" w:hAnsi="Times New Roman"/>
          <w:i/>
          <w:color w:val="222222"/>
          <w:sz w:val="22"/>
        </w:rPr>
      </w:pPr>
      <w:r w:rsidRPr="00FB7B23">
        <w:rPr>
          <w:rFonts w:ascii="Times New Roman" w:eastAsia="Times New Roman" w:hAnsi="Times New Roman"/>
          <w:i/>
          <w:iCs/>
          <w:color w:val="222222"/>
          <w:sz w:val="22"/>
        </w:rPr>
        <w:t>Educational assessment in Indonesia is undergoing a structural shift from conventional, uniform measurement toward authentic, process-based, student-centered evaluation. Within this shift, digital portfolio assessment emerges as an instrument capable of accommodating the demands of writing learning. This study examines the urgency, conceptual foundations, and implementation challenges of digital portfolio assessment in writing learning under the Merdeka Curriculum through a conceptual review based on a systematic synthesis of national and international literature published primarily between 2020 and 2025, supplemented by a small number of seminal theoretical and methodological works identified explicitly where cited. This review indicates that digital portfolio assessment offers significant advantages over conventional portfolios in accessibility, process documentation, multimedia accommodation, and support for student self-reflection, while also showing that its benefits are not uniform across all dimensions of writing competence, with stronger support evident for self-monitoring and lower-level accuracy than for higher-order organizational and rhetorical skill. This review recommends developing a comprehensive supporting ecosystem encompassing teacher professional development, accessible platform provision, and school policies that sustain digital portfolio implementation, alongside future empirical research distinguishing its differentiated effects across the dimensions of writing competence identified here.</w:t>
      </w:r>
    </w:p>
    <w:p w14:paraId="31C1FC5A" w14:textId="22A62373" w:rsidR="005E7DEB" w:rsidRPr="00C8192D" w:rsidRDefault="0081190E" w:rsidP="00FB7B23">
      <w:pPr>
        <w:spacing w:before="240"/>
        <w:ind w:left="1134" w:hanging="1134"/>
        <w:jc w:val="both"/>
        <w:rPr>
          <w:rFonts w:ascii="Times New Roman" w:eastAsia="Times New Roman" w:hAnsi="Times New Roman"/>
          <w:i/>
          <w:color w:val="222222"/>
        </w:rPr>
      </w:pPr>
      <w:r w:rsidRPr="00CB0F37">
        <w:rPr>
          <w:rFonts w:ascii="Times New Roman" w:hAnsi="Times New Roman"/>
          <w:b/>
          <w:bCs/>
          <w:sz w:val="22"/>
          <w:lang w:val="id-ID"/>
        </w:rPr>
        <w:t>Keywords:</w:t>
      </w:r>
      <w:r w:rsidR="00C71CF8" w:rsidRPr="00CB0F37">
        <w:rPr>
          <w:rFonts w:ascii="Times New Roman" w:hAnsi="Times New Roman"/>
          <w:b/>
          <w:bCs/>
          <w:sz w:val="22"/>
        </w:rPr>
        <w:tab/>
      </w:r>
      <w:r w:rsidR="00FB7B23" w:rsidRPr="00FB7B23">
        <w:rPr>
          <w:rFonts w:ascii="Times New Roman" w:eastAsia="Times New Roman" w:hAnsi="Times New Roman"/>
          <w:bCs/>
          <w:i/>
          <w:iCs/>
          <w:sz w:val="22"/>
        </w:rPr>
        <w:t>Authentic Assessment, Conceptual Review, Digital Portfolio,</w:t>
      </w:r>
      <w:bookmarkStart w:id="4" w:name="_GoBack"/>
      <w:bookmarkEnd w:id="4"/>
      <w:r w:rsidR="00FB7B23" w:rsidRPr="00FB7B23">
        <w:rPr>
          <w:rFonts w:ascii="Times New Roman" w:eastAsia="Times New Roman" w:hAnsi="Times New Roman"/>
          <w:bCs/>
          <w:i/>
          <w:iCs/>
          <w:sz w:val="22"/>
        </w:rPr>
        <w:t xml:space="preserve"> Merdeka Curriculum, Writing Instruction</w:t>
      </w:r>
    </w:p>
    <w:p w14:paraId="56C325AE" w14:textId="77777777" w:rsidR="00F046C0" w:rsidRDefault="00F046C0">
      <w:pPr>
        <w:spacing w:after="160" w:line="259" w:lineRule="auto"/>
        <w:jc w:val="left"/>
        <w:rPr>
          <w:rFonts w:ascii="Times New Roman" w:hAnsi="Times New Roman"/>
          <w:b/>
          <w:bCs/>
          <w:sz w:val="24"/>
          <w:szCs w:val="24"/>
          <w:lang w:val="id-ID"/>
        </w:rPr>
      </w:pPr>
      <w:r>
        <w:rPr>
          <w:rFonts w:ascii="Times New Roman" w:hAnsi="Times New Roman"/>
          <w:b/>
          <w:bCs/>
          <w:sz w:val="24"/>
          <w:szCs w:val="24"/>
          <w:lang w:val="id-ID"/>
        </w:rPr>
        <w:br w:type="page"/>
      </w:r>
    </w:p>
    <w:p w14:paraId="4856C71A" w14:textId="102E2EB9" w:rsidR="005F3422" w:rsidRPr="00CB0F37" w:rsidRDefault="0081190E" w:rsidP="005B6AFE">
      <w:pPr>
        <w:spacing w:before="240" w:after="240" w:line="276" w:lineRule="auto"/>
        <w:jc w:val="both"/>
        <w:rPr>
          <w:rFonts w:ascii="Times New Roman" w:hAnsi="Times New Roman"/>
          <w:b/>
          <w:bCs/>
          <w:sz w:val="24"/>
          <w:szCs w:val="24"/>
          <w:lang w:val="id-ID"/>
        </w:rPr>
      </w:pPr>
      <w:r w:rsidRPr="00CB0F37">
        <w:rPr>
          <w:rFonts w:ascii="Times New Roman" w:hAnsi="Times New Roman"/>
          <w:b/>
          <w:bCs/>
          <w:sz w:val="24"/>
          <w:szCs w:val="24"/>
          <w:lang w:val="id-ID"/>
        </w:rPr>
        <w:lastRenderedPageBreak/>
        <w:t>INTRODUCTION</w:t>
      </w:r>
    </w:p>
    <w:p w14:paraId="3411C228" w14:textId="7D3B2A5A" w:rsidR="00FB7B23" w:rsidRPr="00FB7B23" w:rsidRDefault="00FB7B23" w:rsidP="00FB7B23">
      <w:pPr>
        <w:spacing w:line="276" w:lineRule="auto"/>
        <w:ind w:firstLine="567"/>
        <w:jc w:val="both"/>
        <w:rPr>
          <w:rFonts w:ascii="Times New Roman" w:eastAsia="Times New Roman" w:hAnsi="Times New Roman"/>
          <w:sz w:val="24"/>
          <w:szCs w:val="24"/>
          <w:lang w:val="en-ID"/>
        </w:rPr>
      </w:pPr>
      <w:r w:rsidRPr="00FB7B23">
        <w:rPr>
          <w:rFonts w:ascii="Times New Roman" w:eastAsia="Times New Roman" w:hAnsi="Times New Roman"/>
          <w:sz w:val="24"/>
          <w:szCs w:val="24"/>
          <w:lang w:val="en-ID"/>
        </w:rPr>
        <w:t>Writing constitutes one of the most cognitively demanding language skills to teach and to evaluate with precision</w:t>
      </w:r>
      <w:r w:rsidR="002C0006">
        <w:rPr>
          <w:rFonts w:ascii="Times New Roman" w:eastAsia="Times New Roman" w:hAnsi="Times New Roman"/>
          <w:sz w:val="24"/>
          <w:szCs w:val="24"/>
          <w:lang w:val="en-ID"/>
        </w:rPr>
        <w:t xml:space="preserve"> </w:t>
      </w:r>
      <w:r w:rsidR="002C0006">
        <w:rPr>
          <w:rFonts w:ascii="Times New Roman" w:eastAsia="Times New Roman" w:hAnsi="Times New Roman"/>
          <w:sz w:val="24"/>
          <w:szCs w:val="24"/>
          <w:lang w:val="en-ID"/>
        </w:rPr>
        <w:fldChar w:fldCharType="begin" w:fldLock="1"/>
      </w:r>
      <w:r w:rsidR="002C0006">
        <w:rPr>
          <w:rFonts w:ascii="Times New Roman" w:eastAsia="Times New Roman" w:hAnsi="Times New Roman"/>
          <w:sz w:val="24"/>
          <w:szCs w:val="24"/>
          <w:lang w:val="en-ID"/>
        </w:rPr>
        <w:instrText>ADDIN CSL_CITATION {"citationItems":[{"id":"ITEM-1","itemData":{"DOI":"10.17507/tpls.1408.33","ISSN":"2053-0692","abstract":"Despite many studies investigating the effects of task complexity on L2 writing performance, little attention has been given to the specific effects of independent vs. integrated writing tasks and their cognitive demands on EFL learners. This study aimed to address this gap by conducting a comprehensive examination of the cognitive demands exerted by these two types of writing tasks and their effects on linguistic complexity outcomes among 35 Chinese EFL learners. Employing mixed methods involving learner self-ratings, expert judgments, and dual-task measures, the study revealed that, compared to the independent writing task, the integrated writing task places higher cognitive demands on students. In terms of written performance, participants demonstrated enhancements in lexical and syntactic complexity when responding to the integrated writing task, supporting Robinson’s Cognition Hypothesis (CH). These findings highlight the importance of understanding the cognitive load imposed by different types of writing tasks and offer implications for educators in the design and sequencing of writing tasks within Task-Based Language Teaching (TBLT) contexts.","author":[{"dropping-particle":"","family":"Zhao","given":"Ziming","non-dropping-particle":"","parse-names":false,"suffix":""},{"dropping-particle":"","family":"Nimehchisalem","given":"Vahid","non-dropping-particle":"","parse-names":false,"suffix":""},{"dropping-particle":"","family":"Chan","given":"Mei Yuit","non-dropping-particle":"","parse-names":false,"suffix":""}],"container-title":"Theory and Practice in Language Studies","id":"ITEM-1","issue":"8","issued":{"date-parts":[["2024","8","9"]]},"page":"2606-2617","title":"Independent Writing Tasks vs. Integrated Writing Tasks: The Cognitive Demands and Their Impacts on Linguistic Complexity in EFL Writing","type":"article-journal","volume":"14"},"uris":["http://www.mendeley.com/documents/?uuid=243aa832-a108-4981-81ab-08e96f0601be"]}],"mendeley":{"formattedCitation":"(Zhao et al., 2024)","plainTextFormattedCitation":"(Zhao et al., 2024)","previouslyFormattedCitation":"(Zhao et al., 2024)"},"properties":{"noteIndex":0},"schema":"https://github.com/citation-style-language/schema/raw/master/csl-citation.json"}</w:instrText>
      </w:r>
      <w:r w:rsidR="002C0006">
        <w:rPr>
          <w:rFonts w:ascii="Times New Roman" w:eastAsia="Times New Roman" w:hAnsi="Times New Roman"/>
          <w:sz w:val="24"/>
          <w:szCs w:val="24"/>
          <w:lang w:val="en-ID"/>
        </w:rPr>
        <w:fldChar w:fldCharType="separate"/>
      </w:r>
      <w:r w:rsidR="002C0006" w:rsidRPr="002C0006">
        <w:rPr>
          <w:rFonts w:ascii="Times New Roman" w:eastAsia="Times New Roman" w:hAnsi="Times New Roman"/>
          <w:sz w:val="24"/>
          <w:szCs w:val="24"/>
          <w:lang w:val="en-ID"/>
        </w:rPr>
        <w:t>(Zhao et al., 2024)</w:t>
      </w:r>
      <w:r w:rsidR="002C0006">
        <w:rPr>
          <w:rFonts w:ascii="Times New Roman" w:eastAsia="Times New Roman" w:hAnsi="Times New Roman"/>
          <w:sz w:val="24"/>
          <w:szCs w:val="24"/>
          <w:lang w:val="en-ID"/>
        </w:rPr>
        <w:fldChar w:fldCharType="end"/>
      </w:r>
      <w:r w:rsidRPr="00FB7B23">
        <w:rPr>
          <w:rFonts w:ascii="Times New Roman" w:eastAsia="Times New Roman" w:hAnsi="Times New Roman"/>
          <w:sz w:val="24"/>
          <w:szCs w:val="24"/>
          <w:lang w:val="en-ID"/>
        </w:rPr>
        <w:t>. Its complexity does not reside in the finished text alone but in a layered process of planning, drafting, revising, and refining that unfolds over time. Assessment instruments confined to the final written product therefore capture only a fragment of what a developing writer actually does, leaving the formative dimensions of composition, namely strategy use, revision behavior, and reflective awareness, largely undocumented</w:t>
      </w:r>
      <w:r w:rsidR="002C0006">
        <w:rPr>
          <w:rFonts w:ascii="Times New Roman" w:eastAsia="Times New Roman" w:hAnsi="Times New Roman"/>
          <w:sz w:val="24"/>
          <w:szCs w:val="24"/>
          <w:lang w:val="en-ID"/>
        </w:rPr>
        <w:t xml:space="preserve"> </w:t>
      </w:r>
      <w:r w:rsidR="002C0006">
        <w:rPr>
          <w:rFonts w:ascii="Times New Roman" w:eastAsia="Times New Roman" w:hAnsi="Times New Roman"/>
          <w:sz w:val="24"/>
          <w:szCs w:val="24"/>
          <w:lang w:val="en-ID"/>
        </w:rPr>
        <w:fldChar w:fldCharType="begin" w:fldLock="1"/>
      </w:r>
      <w:r w:rsidR="002C0006">
        <w:rPr>
          <w:rFonts w:ascii="Times New Roman" w:eastAsia="Times New Roman" w:hAnsi="Times New Roman"/>
          <w:sz w:val="24"/>
          <w:szCs w:val="24"/>
          <w:lang w:val="en-ID"/>
        </w:rPr>
        <w:instrText>ADDIN CSL_CITATION {"citationItems":[{"id":"ITEM-1","itemData":{"DOI":"10.1016/j.jslw.2020.100710","ISSN":"10603743","author":[{"dropping-particle":"","family":"Hafner","given":"Christoph A.","non-dropping-particle":"","parse-names":false,"suffix":""},{"dropping-particle":"","family":"Ho","given":"Wing Yee Jenifer","non-dropping-particle":"","parse-names":false,"suffix":""}],"container-title":"Journal of Second Language Writing","id":"ITEM-1","issued":{"date-parts":[["2020","3"]]},"page":"100710","title":"Assessing digital multimodal composing in second language writing: Towards a process-based model","type":"article-journal","volume":"47"},"uris":["http://www.mendeley.com/documents/?uuid=90e8e277-8139-41bd-bca4-c03dfcaab66f"]},{"id":"ITEM-2","itemData":{"DOI":"10.1016/j.jslw.2022.100869","ISSN":"10603743","author":[{"dropping-particle":"","family":"Jiang","given":"Lianjiang","non-dropping-particle":"","parse-names":false,"suffix":""},{"dropping-particle":"","family":"Yu","given":"Shulin","non-dropping-particle":"","parse-names":false,"suffix":""},{"dropping-particle":"","family":"Lee","given":"Icy","non-dropping-particle":"","parse-names":false,"suffix":""}],"container-title":"Journal of Second Language Writing","id":"ITEM-2","issued":{"date-parts":[["2022","9"]]},"page":"100869","title":"Developing a genre-based model for assessing digital multimodal composing in second language writing: Integrating theory with practice","type":"article-journal","volume":"57"},"uris":["http://www.mendeley.com/documents/?uuid=5e3a6ecc-6107-4122-abd7-c3543fcea73a"]}],"mendeley":{"formattedCitation":"(Hafner &amp; Ho, 2020; Jiang et al., 2022)","plainTextFormattedCitation":"(Hafner &amp; Ho, 2020; Jiang et al., 2022)","previouslyFormattedCitation":"(Hafner &amp; Ho, 2020; Jiang et al., 2022)"},"properties":{"noteIndex":0},"schema":"https://github.com/citation-style-language/schema/raw/master/csl-citation.json"}</w:instrText>
      </w:r>
      <w:r w:rsidR="002C0006">
        <w:rPr>
          <w:rFonts w:ascii="Times New Roman" w:eastAsia="Times New Roman" w:hAnsi="Times New Roman"/>
          <w:sz w:val="24"/>
          <w:szCs w:val="24"/>
          <w:lang w:val="en-ID"/>
        </w:rPr>
        <w:fldChar w:fldCharType="separate"/>
      </w:r>
      <w:r w:rsidR="002C0006" w:rsidRPr="002C0006">
        <w:rPr>
          <w:rFonts w:ascii="Times New Roman" w:eastAsia="Times New Roman" w:hAnsi="Times New Roman"/>
          <w:sz w:val="24"/>
          <w:szCs w:val="24"/>
          <w:lang w:val="en-ID"/>
        </w:rPr>
        <w:t>(Hafner &amp; Ho, 2020; Jiang et al., 2022)</w:t>
      </w:r>
      <w:r w:rsidR="002C0006">
        <w:rPr>
          <w:rFonts w:ascii="Times New Roman" w:eastAsia="Times New Roman" w:hAnsi="Times New Roman"/>
          <w:sz w:val="24"/>
          <w:szCs w:val="24"/>
          <w:lang w:val="en-ID"/>
        </w:rPr>
        <w:fldChar w:fldCharType="end"/>
      </w:r>
      <w:r w:rsidRPr="00FB7B23">
        <w:rPr>
          <w:rFonts w:ascii="Times New Roman" w:eastAsia="Times New Roman" w:hAnsi="Times New Roman"/>
          <w:sz w:val="24"/>
          <w:szCs w:val="24"/>
          <w:lang w:val="en-ID"/>
        </w:rPr>
        <w:t>. This limitation becomes more pressing as Indonesian education undergoes a structural shift away from summative, test-centered evaluation toward assessment models capable of representing growth over time.</w:t>
      </w:r>
    </w:p>
    <w:p w14:paraId="28524EED" w14:textId="068BF77B" w:rsidR="00FB7B23" w:rsidRPr="00FB7B23" w:rsidRDefault="00FB7B23" w:rsidP="00FB7B23">
      <w:pPr>
        <w:spacing w:line="276" w:lineRule="auto"/>
        <w:ind w:firstLine="567"/>
        <w:jc w:val="both"/>
        <w:rPr>
          <w:rFonts w:ascii="Times New Roman" w:eastAsia="Times New Roman" w:hAnsi="Times New Roman"/>
          <w:sz w:val="24"/>
          <w:szCs w:val="24"/>
          <w:lang w:val="en-ID"/>
        </w:rPr>
      </w:pPr>
      <w:r w:rsidRPr="00FB7B23">
        <w:rPr>
          <w:rFonts w:ascii="Times New Roman" w:eastAsia="Times New Roman" w:hAnsi="Times New Roman"/>
          <w:sz w:val="24"/>
          <w:szCs w:val="24"/>
          <w:lang w:val="en-ID"/>
        </w:rPr>
        <w:t>The Merdeka Curriculum, progressively implemented in Indonesian schools since 2022, embodies this shift. The Ministry of Education, Culture, Research, and Technology</w:t>
      </w:r>
      <w:r w:rsidR="00152876">
        <w:rPr>
          <w:rFonts w:ascii="Times New Roman" w:eastAsia="Times New Roman" w:hAnsi="Times New Roman"/>
          <w:sz w:val="24"/>
          <w:szCs w:val="24"/>
          <w:lang w:val="en-ID"/>
        </w:rPr>
        <w:t xml:space="preserve"> </w:t>
      </w:r>
      <w:r w:rsidRPr="00FB7B23">
        <w:rPr>
          <w:rFonts w:ascii="Times New Roman" w:eastAsia="Times New Roman" w:hAnsi="Times New Roman"/>
          <w:sz w:val="24"/>
          <w:szCs w:val="24"/>
          <w:lang w:val="en-ID"/>
        </w:rPr>
        <w:t>frames the curriculum as one that grants schools flexibility to design meaningful, learner-centered instruction, with assessment oriented toward authentic and formative purposes rather than standardized measurement of outcomes alone</w:t>
      </w:r>
      <w:r w:rsidR="00152876">
        <w:rPr>
          <w:rFonts w:ascii="Times New Roman" w:eastAsia="Times New Roman" w:hAnsi="Times New Roman"/>
          <w:sz w:val="24"/>
          <w:szCs w:val="24"/>
          <w:lang w:val="en-ID"/>
        </w:rPr>
        <w:t xml:space="preserve"> </w:t>
      </w:r>
      <w:r w:rsidR="00152876">
        <w:rPr>
          <w:rFonts w:ascii="Times New Roman" w:eastAsia="Times New Roman" w:hAnsi="Times New Roman"/>
          <w:sz w:val="24"/>
          <w:szCs w:val="24"/>
          <w:lang w:val="en-ID"/>
        </w:rPr>
        <w:fldChar w:fldCharType="begin" w:fldLock="1"/>
      </w:r>
      <w:r w:rsidR="00CE6B7C">
        <w:rPr>
          <w:rFonts w:ascii="Times New Roman" w:eastAsia="Times New Roman" w:hAnsi="Times New Roman"/>
          <w:sz w:val="24"/>
          <w:szCs w:val="24"/>
          <w:lang w:val="en-ID"/>
        </w:rPr>
        <w:instrText>ADDIN CSL_CITATION {"citationItems":[{"id":"ITEM-1","itemData":{"author":[{"dropping-particle":"","family":"Anggraena","given":"Yogi","non-dropping-particle":"","parse-names":false,"suffix":""},{"dropping-particle":"","family":"Ginanto","given":"Dion Efrijum","non-dropping-particle":"","parse-names":false,"suffix":""},{"dropping-particle":"","family":"Kesuma","given":"Ameliasari Tauresia","non-dropping-particle":"","parse-names":false,"suffix":""},{"dropping-particle":"","family":"Setiyowati","given":"Dwi","non-dropping-particle":"","parse-names":false,"suffix":""}],"edition":"Revisi Ke-3","id":"ITEM-1","issued":{"date-parts":[["2025"]]},"publisher":"Badan Standar, Kurikulum, dan Asesmen Pendidikan (BSKAP) Kementerian Pendidikan, Kebudayaan, Riset, dan Teknologi","title":"Panduan Pembelajaran dan Asesmen 2025: Panduan Pembelajaran dan Asesmen Pendidikan Anak Usia Dini, Pendidikan Dasar dan Pendidikan Menengah","type":"book"},"uris":["http://www.mendeley.com/documents/?uuid=c93db698-a2e6-31bf-9e9c-bff3a3ed0afc"]}],"mendeley":{"formattedCitation":"(Anggraena et al., 2025)","plainTextFormattedCitation":"(Anggraena et al., 2025)","previouslyFormattedCitation":"(Anggraena et al., 2025)"},"properties":{"noteIndex":0},"schema":"https://github.com/citation-style-language/schema/raw/master/csl-citation.json"}</w:instrText>
      </w:r>
      <w:r w:rsidR="00152876">
        <w:rPr>
          <w:rFonts w:ascii="Times New Roman" w:eastAsia="Times New Roman" w:hAnsi="Times New Roman"/>
          <w:sz w:val="24"/>
          <w:szCs w:val="24"/>
          <w:lang w:val="en-ID"/>
        </w:rPr>
        <w:fldChar w:fldCharType="separate"/>
      </w:r>
      <w:r w:rsidR="00152876" w:rsidRPr="00152876">
        <w:rPr>
          <w:rFonts w:ascii="Times New Roman" w:eastAsia="Times New Roman" w:hAnsi="Times New Roman"/>
          <w:sz w:val="24"/>
          <w:szCs w:val="24"/>
          <w:lang w:val="en-ID"/>
        </w:rPr>
        <w:t>(Anggraena et al., 2025)</w:t>
      </w:r>
      <w:r w:rsidR="00152876">
        <w:rPr>
          <w:rFonts w:ascii="Times New Roman" w:eastAsia="Times New Roman" w:hAnsi="Times New Roman"/>
          <w:sz w:val="24"/>
          <w:szCs w:val="24"/>
          <w:lang w:val="en-ID"/>
        </w:rPr>
        <w:fldChar w:fldCharType="end"/>
      </w:r>
      <w:r w:rsidRPr="00FB7B23">
        <w:rPr>
          <w:rFonts w:ascii="Times New Roman" w:eastAsia="Times New Roman" w:hAnsi="Times New Roman"/>
          <w:sz w:val="24"/>
          <w:szCs w:val="24"/>
          <w:lang w:val="en-ID"/>
        </w:rPr>
        <w:t>. Within this policy architecture, portfolio assessment, understood as the systematic compilation of student work that documents the trajectory of competency development, occupies a natural position</w:t>
      </w:r>
      <w:r w:rsidR="00CE6B7C">
        <w:rPr>
          <w:rFonts w:ascii="Times New Roman" w:eastAsia="Times New Roman" w:hAnsi="Times New Roman"/>
          <w:sz w:val="24"/>
          <w:szCs w:val="24"/>
          <w:lang w:val="en-ID"/>
        </w:rPr>
        <w:t xml:space="preserve"> </w:t>
      </w:r>
      <w:r w:rsidR="00CE6B7C">
        <w:rPr>
          <w:rFonts w:ascii="Times New Roman" w:eastAsia="Times New Roman" w:hAnsi="Times New Roman"/>
          <w:sz w:val="24"/>
          <w:szCs w:val="24"/>
          <w:lang w:val="en-ID"/>
        </w:rPr>
        <w:fldChar w:fldCharType="begin" w:fldLock="1"/>
      </w:r>
      <w:r w:rsidR="00CE6B7C">
        <w:rPr>
          <w:rFonts w:ascii="Times New Roman" w:eastAsia="Times New Roman" w:hAnsi="Times New Roman"/>
          <w:sz w:val="24"/>
          <w:szCs w:val="24"/>
          <w:lang w:val="en-ID"/>
        </w:rPr>
        <w:instrText>ADDIN CSL_CITATION {"citationItems":[{"id":"ITEM-1","itemData":{"abstract":"Pada era ini penguasaan soft skills dan hard skills sama pentingnya. Siswa perlu dilatih tidak saja supaya mereka kompeten secara akademis tetapi juga supaya mereka mempunyai karakter yang berkualitas. Penilaian portofolio yang digunakan di kelas merupakan satu alternatif untuk meningkatkan kompetensi siswa secara menyeluruh. Penggunaan portofolio secara tepat tidak saja meningkatkan kompetensi spesifik pada bidang studi tertentu tetapi juga kompetensi yang bersifat umum yang diperlukan dalam kehidupan seperti berpikir kritis, berpikir reflektif, memahami kelebihan dan kelemahan diri, menemukan strategi untuk meningkatkan kompetensi, gigih, dan menjadi pembelajar yang mandiri.","author":[{"dropping-particle":"","family":"Kemendikbud","given":"","non-dropping-particle":"","parse-names":false,"suffix":""}],"container-title":"Pusat Penilaian Pendidikan","id":"ITEM-1","issued":{"date-parts":[["2019"]]},"number-of-pages":"30","publisher-place":"Jakarta","title":"Panduan Penilaian Portofolio","type":"book"},"uris":["http://www.mendeley.com/documents/?uuid=7fb22215-a81a-465c-9b39-bdae8f249abb"]}],"mendeley":{"formattedCitation":"(Kemendikbud, 2019)","plainTextFormattedCitation":"(Kemendikbud, 2019)","previouslyFormattedCitation":"(Kemendikbud, 2019)"},"properties":{"noteIndex":0},"schema":"https://github.com/citation-style-language/schema/raw/master/csl-citation.json"}</w:instrText>
      </w:r>
      <w:r w:rsidR="00CE6B7C">
        <w:rPr>
          <w:rFonts w:ascii="Times New Roman" w:eastAsia="Times New Roman" w:hAnsi="Times New Roman"/>
          <w:sz w:val="24"/>
          <w:szCs w:val="24"/>
          <w:lang w:val="en-ID"/>
        </w:rPr>
        <w:fldChar w:fldCharType="separate"/>
      </w:r>
      <w:r w:rsidR="00CE6B7C" w:rsidRPr="00CE6B7C">
        <w:rPr>
          <w:rFonts w:ascii="Times New Roman" w:eastAsia="Times New Roman" w:hAnsi="Times New Roman"/>
          <w:sz w:val="24"/>
          <w:szCs w:val="24"/>
          <w:lang w:val="en-ID"/>
        </w:rPr>
        <w:t>(Kemendikbud, 2019)</w:t>
      </w:r>
      <w:r w:rsidR="00CE6B7C">
        <w:rPr>
          <w:rFonts w:ascii="Times New Roman" w:eastAsia="Times New Roman" w:hAnsi="Times New Roman"/>
          <w:sz w:val="24"/>
          <w:szCs w:val="24"/>
          <w:lang w:val="en-ID"/>
        </w:rPr>
        <w:fldChar w:fldCharType="end"/>
      </w:r>
      <w:r w:rsidRPr="00FB7B23">
        <w:rPr>
          <w:rFonts w:ascii="Times New Roman" w:eastAsia="Times New Roman" w:hAnsi="Times New Roman"/>
          <w:sz w:val="24"/>
          <w:szCs w:val="24"/>
          <w:lang w:val="en-ID"/>
        </w:rPr>
        <w:t>. Its digital variant extends this function by allowing multimedia documentation, continuous teacher and peer feedback, and structured self-reflection within a single accessible platform, qualities increasingly recognized as central to authentic, learner-centered evaluation</w:t>
      </w:r>
      <w:r w:rsidR="00CE6B7C">
        <w:rPr>
          <w:rFonts w:ascii="Times New Roman" w:eastAsia="Times New Roman" w:hAnsi="Times New Roman"/>
          <w:sz w:val="24"/>
          <w:szCs w:val="24"/>
          <w:lang w:val="en-ID"/>
        </w:rPr>
        <w:t xml:space="preserve"> </w:t>
      </w:r>
      <w:r w:rsidR="00CE6B7C">
        <w:rPr>
          <w:rFonts w:ascii="Times New Roman" w:eastAsia="Times New Roman" w:hAnsi="Times New Roman"/>
          <w:sz w:val="24"/>
          <w:szCs w:val="24"/>
          <w:lang w:val="en-ID"/>
        </w:rPr>
        <w:fldChar w:fldCharType="begin" w:fldLock="1"/>
      </w:r>
      <w:r w:rsidR="00CE6B7C">
        <w:rPr>
          <w:rFonts w:ascii="Times New Roman" w:eastAsia="Times New Roman" w:hAnsi="Times New Roman"/>
          <w:sz w:val="24"/>
          <w:szCs w:val="24"/>
          <w:lang w:val="en-ID"/>
        </w:rPr>
        <w:instrText>ADDIN CSL_CITATION {"citationItems":[{"id":"ITEM-1","itemData":{"DOI":"10.3389/fpsyg.2022.1079385","ISSN":"1664-1078","abstract":"The reflective component of e-Portfolios is said to help students improve second or foreign language writing in terms of motivation and academic results. Despite this positive advocacy, scholars remain unclear about how e-Portfolios can develop students’ self-regulatory abilities in writing classrooms, especially when students engage in complex e-Portfolio construction processes with peers, parents, teachers, their community, digital tools, and online resources. Recently, researchers have argued that not only do e-Portfolios promote self-regulated learning, but they also support co-regulation of learning wherein the latter is socially mediated by curriculum design, instructional materials, and in-class interaction patterns. Indeed, students’ inner development of self-regulatory capacity is closely influenced by external forces, which deserve more scholarly investigation. The review fills this gap by emphasizing that besides self-regulated learning, e-Portfolios can support students’ co-regulation of learning by way of their connectivity, visibility, and circulation. This review has four sections. The first section defines key concepts, namely e-Portfolios, self-regulated, co-regulated, and socially shared-regulated learning, and introduces how e-Portfolios foster self-regulation of learning in second language writing. The second section unpacks two conceptual models that underpin self-regulated and co-regulated learning relating to e-Portfolios. The third section presents a brief review, showcasing how e-Portfolios featuring self-regulation of learning can also support co-regulation of learning. The final section recommends strategies that facilitate self-regulation and co-regulation of learning in e-Portfolios reciprocally, and discusses implications for pedagogy and research.","author":[{"dropping-particle":"","family":"Lam","given":"Ricky","non-dropping-particle":"","parse-names":false,"suffix":""}],"container-title":"Frontiers in Psychology","id":"ITEM-1","issued":{"date-parts":[["2022","11","21"]]},"title":"E-Portfolios for self-regulated and co-regulated learning: A review","type":"article-journal","volume":"13"},"uris":["http://www.mendeley.com/documents/?uuid=c215763e-54fa-4e29-8ad4-439195e0aa19"]}],"mendeley":{"formattedCitation":"(Lam, 2022)","plainTextFormattedCitation":"(Lam, 2022)","previouslyFormattedCitation":"(Lam, 2022)"},"properties":{"noteIndex":0},"schema":"https://github.com/citation-style-language/schema/raw/master/csl-citation.json"}</w:instrText>
      </w:r>
      <w:r w:rsidR="00CE6B7C">
        <w:rPr>
          <w:rFonts w:ascii="Times New Roman" w:eastAsia="Times New Roman" w:hAnsi="Times New Roman"/>
          <w:sz w:val="24"/>
          <w:szCs w:val="24"/>
          <w:lang w:val="en-ID"/>
        </w:rPr>
        <w:fldChar w:fldCharType="separate"/>
      </w:r>
      <w:r w:rsidR="00CE6B7C" w:rsidRPr="00CE6B7C">
        <w:rPr>
          <w:rFonts w:ascii="Times New Roman" w:eastAsia="Times New Roman" w:hAnsi="Times New Roman"/>
          <w:sz w:val="24"/>
          <w:szCs w:val="24"/>
          <w:lang w:val="en-ID"/>
        </w:rPr>
        <w:t>(Lam, 2022)</w:t>
      </w:r>
      <w:r w:rsidR="00CE6B7C">
        <w:rPr>
          <w:rFonts w:ascii="Times New Roman" w:eastAsia="Times New Roman" w:hAnsi="Times New Roman"/>
          <w:sz w:val="24"/>
          <w:szCs w:val="24"/>
          <w:lang w:val="en-ID"/>
        </w:rPr>
        <w:fldChar w:fldCharType="end"/>
      </w:r>
      <w:r w:rsidRPr="00FB7B23">
        <w:rPr>
          <w:rFonts w:ascii="Times New Roman" w:eastAsia="Times New Roman" w:hAnsi="Times New Roman"/>
          <w:sz w:val="24"/>
          <w:szCs w:val="24"/>
          <w:lang w:val="en-ID"/>
        </w:rPr>
        <w:t>.</w:t>
      </w:r>
    </w:p>
    <w:p w14:paraId="78AA9E21" w14:textId="1A3EE2BD" w:rsidR="00FB7B23" w:rsidRPr="00FB7B23" w:rsidRDefault="00FB7B23" w:rsidP="00FB7B23">
      <w:pPr>
        <w:spacing w:line="276" w:lineRule="auto"/>
        <w:ind w:firstLine="567"/>
        <w:jc w:val="both"/>
        <w:rPr>
          <w:rFonts w:ascii="Times New Roman" w:eastAsia="Times New Roman" w:hAnsi="Times New Roman"/>
          <w:sz w:val="24"/>
          <w:szCs w:val="24"/>
          <w:lang w:val="en-ID"/>
        </w:rPr>
      </w:pPr>
      <w:r w:rsidRPr="00FB7B23">
        <w:rPr>
          <w:rFonts w:ascii="Times New Roman" w:eastAsia="Times New Roman" w:hAnsi="Times New Roman"/>
          <w:sz w:val="24"/>
          <w:szCs w:val="24"/>
          <w:lang w:val="en-ID"/>
        </w:rPr>
        <w:t xml:space="preserve">Empirical and conceptual literature on digital and electronic portfolios has grown substantially in recent years, though largely outside the specific context of Indonesian secondary writing instruction. </w:t>
      </w:r>
      <w:r w:rsidR="00CE6B7C">
        <w:rPr>
          <w:rFonts w:ascii="Times New Roman" w:eastAsia="Times New Roman" w:hAnsi="Times New Roman"/>
          <w:sz w:val="24"/>
          <w:szCs w:val="24"/>
          <w:lang w:val="en-ID"/>
        </w:rPr>
        <w:fldChar w:fldCharType="begin" w:fldLock="1"/>
      </w:r>
      <w:r w:rsidR="00CE6B7C">
        <w:rPr>
          <w:rFonts w:ascii="Times New Roman" w:eastAsia="Times New Roman" w:hAnsi="Times New Roman"/>
          <w:sz w:val="24"/>
          <w:szCs w:val="24"/>
          <w:lang w:val="en-ID"/>
        </w:rPr>
        <w:instrText>ADDIN CSL_CITATION {"citationItems":[{"id":"ITEM-1","itemData":{"DOI":"10.3389/fpsyg.2022.1079385","ISSN":"1664-1078","abstract":"The reflective component of e-Portfolios is said to help students improve second or foreign language writing in terms of motivation and academic results. Despite this positive advocacy, scholars remain unclear about how e-Portfolios can develop students’ self-regulatory abilities in writing classrooms, especially when students engage in complex e-Portfolio construction processes with peers, parents, teachers, their community, digital tools, and online resources. Recently, researchers have argued that not only do e-Portfolios promote self-regulated learning, but they also support co-regulation of learning wherein the latter is socially mediated by curriculum design, instructional materials, and in-class interaction patterns. Indeed, students’ inner development of self-regulatory capacity is closely influenced by external forces, which deserve more scholarly investigation. The review fills this gap by emphasizing that besides self-regulated learning, e-Portfolios can support students’ co-regulation of learning by way of their connectivity, visibility, and circulation. This review has four sections. The first section defines key concepts, namely e-Portfolios, self-regulated, co-regulated, and socially shared-regulated learning, and introduces how e-Portfolios foster self-regulation of learning in second language writing. The second section unpacks two conceptual models that underpin self-regulated and co-regulated learning relating to e-Portfolios. The third section presents a brief review, showcasing how e-Portfolios featuring self-regulation of learning can also support co-regulation of learning. The final section recommends strategies that facilitate self-regulation and co-regulation of learning in e-Portfolios reciprocally, and discusses implications for pedagogy and research.","author":[{"dropping-particle":"","family":"Lam","given":"Ricky","non-dropping-particle":"","parse-names":false,"suffix":""}],"container-title":"Frontiers in Psychology","id":"ITEM-1","issued":{"date-parts":[["2022","11","21"]]},"title":"E-Portfolios for self-regulated and co-regulated learning: A review","type":"article-journal","volume":"13"},"uris":["http://www.mendeley.com/documents/?uuid=c215763e-54fa-4e29-8ad4-439195e0aa19"]}],"mendeley":{"formattedCitation":"(Lam, 2022)","manualFormatting":"Lam (2022)","plainTextFormattedCitation":"(Lam, 2022)","previouslyFormattedCitation":"(Lam, 2022)"},"properties":{"noteIndex":0},"schema":"https://github.com/citation-style-language/schema/raw/master/csl-citation.json"}</w:instrText>
      </w:r>
      <w:r w:rsidR="00CE6B7C">
        <w:rPr>
          <w:rFonts w:ascii="Times New Roman" w:eastAsia="Times New Roman" w:hAnsi="Times New Roman"/>
          <w:sz w:val="24"/>
          <w:szCs w:val="24"/>
          <w:lang w:val="en-ID"/>
        </w:rPr>
        <w:fldChar w:fldCharType="separate"/>
      </w:r>
      <w:r w:rsidR="00CE6B7C" w:rsidRPr="00CE6B7C">
        <w:rPr>
          <w:rFonts w:ascii="Times New Roman" w:eastAsia="Times New Roman" w:hAnsi="Times New Roman"/>
          <w:sz w:val="24"/>
          <w:szCs w:val="24"/>
          <w:lang w:val="en-ID"/>
        </w:rPr>
        <w:t xml:space="preserve">Lam </w:t>
      </w:r>
      <w:r w:rsidR="00CE6B7C">
        <w:rPr>
          <w:rFonts w:ascii="Times New Roman" w:eastAsia="Times New Roman" w:hAnsi="Times New Roman"/>
          <w:sz w:val="24"/>
          <w:szCs w:val="24"/>
          <w:lang w:val="en-ID"/>
        </w:rPr>
        <w:t>(</w:t>
      </w:r>
      <w:r w:rsidR="00CE6B7C" w:rsidRPr="00CE6B7C">
        <w:rPr>
          <w:rFonts w:ascii="Times New Roman" w:eastAsia="Times New Roman" w:hAnsi="Times New Roman"/>
          <w:sz w:val="24"/>
          <w:szCs w:val="24"/>
          <w:lang w:val="en-ID"/>
        </w:rPr>
        <w:t>2022)</w:t>
      </w:r>
      <w:r w:rsidR="00CE6B7C">
        <w:rPr>
          <w:rFonts w:ascii="Times New Roman" w:eastAsia="Times New Roman" w:hAnsi="Times New Roman"/>
          <w:sz w:val="24"/>
          <w:szCs w:val="24"/>
          <w:lang w:val="en-ID"/>
        </w:rPr>
        <w:fldChar w:fldCharType="end"/>
      </w:r>
      <w:r w:rsidRPr="00FB7B23">
        <w:rPr>
          <w:rFonts w:ascii="Times New Roman" w:eastAsia="Times New Roman" w:hAnsi="Times New Roman"/>
          <w:sz w:val="24"/>
          <w:szCs w:val="24"/>
          <w:lang w:val="en-ID"/>
        </w:rPr>
        <w:t xml:space="preserve"> demonstrates that e-portfolios support not only self-regulated learning but also co-regulated learning, mediated through curriculum design, peer interaction, and teacher scaffolding, a dual function that strengthens their claim to pedagogical depth beyond simple digital storage. In a controlled mixed-methods study, </w:t>
      </w:r>
      <w:r w:rsidR="00CE6B7C">
        <w:rPr>
          <w:rFonts w:ascii="Times New Roman" w:eastAsia="Times New Roman" w:hAnsi="Times New Roman"/>
          <w:sz w:val="24"/>
          <w:szCs w:val="24"/>
          <w:lang w:val="en-ID"/>
        </w:rPr>
        <w:fldChar w:fldCharType="begin" w:fldLock="1"/>
      </w:r>
      <w:r w:rsidR="00CE6B7C">
        <w:rPr>
          <w:rFonts w:ascii="Times New Roman" w:eastAsia="Times New Roman" w:hAnsi="Times New Roman"/>
          <w:sz w:val="24"/>
          <w:szCs w:val="24"/>
          <w:lang w:val="en-ID"/>
        </w:rPr>
        <w:instrText>ADDIN CSL_CITATION {"citationItems":[{"id":"ITEM-1","itemData":{"DOI":"10.1186/s40468-022-00156-7","ISSN":"2229-0443","abstract":"Portfolio assessment (PA) as an assessment for learning (AfL) alternative has been under-represented in second/foreign language acquisition (SLA) research literature. This study examined the potential impacts of electronic PA (e-PA) on English-as-a-Foreign-Language (EFL) learners’ engagement modes in descriptive and narrative genres of writing on Moodle™. To do so, 56 university students were non-randomly selected and assigned into two intermediate-level EFL cohorts. In a pretest-mediation-posttest study, descriptive and narrative writing tasks completed by two groups were subjected to teacher feedback, student reflection logs, and subsequent revision every week. Results of repeated measures ANOVA indicated significant progress in lower-level skills (sentence structure, word choice/grammar, mechanics), and moderate progress in higher-level skills (organization, development) in both groups’ genre-based writing. Results of one-way ANCOVA reported the notable pretest-to-posttest achievement by both groups with no intergroup statistical differences. The content of students’ reflection logs was inductively analyzed for their behavioral, emotional, and cognitive modes of engagement in e-PA. Qualitative data analysis indicated similar writing time intervals and recurrence of revisions as the behavioral mode of both groups. Participants also expressed novelty, low anxiety, and enjoyment as their emotional experiences. In terms of their cognitive experience, the majority agreed upon the applicability of teacher feedback and positive perception of writing improvement in e-PA. Yet, they were critical to regular mismatches between the scopes of teacher assessment and self-assessment, as well as teacher linguistic bias towards certain writing features. Several pedagogical implications of the study promote the facilitating role of e-PA in genre-based academic writing and e-learning contexts.","author":[{"dropping-particle":"","family":"Pourdana","given":"Natasha","non-dropping-particle":"","parse-names":false,"suffix":""},{"dropping-particle":"","family":"Tavassoli","given":"Kobra","non-dropping-particle":"","parse-names":false,"suffix":""}],"container-title":"Language Testing in Asia","id":"ITEM-1","issue":"1","issued":{"date-parts":[["2022","12","15"]]},"page":"7","title":"Differential impacts of e-portfolio assessment on language learners’ engagement modes and genre-based writing improvement","type":"article-journal","volume":"12"},"uris":["http://www.mendeley.com/documents/?uuid=056076df-17c3-4c28-85e2-fd0e4abd2a02"]}],"mendeley":{"formattedCitation":"(Pourdana &amp; Tavassoli, 2022)","manualFormatting":"Pourdana and Tavassoli (2022)","plainTextFormattedCitation":"(Pourdana &amp; Tavassoli, 2022)","previouslyFormattedCitation":"(Pourdana &amp; Tavassoli, 2022)"},"properties":{"noteIndex":0},"schema":"https://github.com/citation-style-language/schema/raw/master/csl-citation.json"}</w:instrText>
      </w:r>
      <w:r w:rsidR="00CE6B7C">
        <w:rPr>
          <w:rFonts w:ascii="Times New Roman" w:eastAsia="Times New Roman" w:hAnsi="Times New Roman"/>
          <w:sz w:val="24"/>
          <w:szCs w:val="24"/>
          <w:lang w:val="en-ID"/>
        </w:rPr>
        <w:fldChar w:fldCharType="separate"/>
      </w:r>
      <w:r w:rsidR="00CE6B7C" w:rsidRPr="00CE6B7C">
        <w:rPr>
          <w:rFonts w:ascii="Times New Roman" w:eastAsia="Times New Roman" w:hAnsi="Times New Roman"/>
          <w:sz w:val="24"/>
          <w:szCs w:val="24"/>
          <w:lang w:val="en-ID"/>
        </w:rPr>
        <w:t xml:space="preserve">Pourdana </w:t>
      </w:r>
      <w:r w:rsidR="00CE6B7C">
        <w:rPr>
          <w:rFonts w:ascii="Times New Roman" w:eastAsia="Times New Roman" w:hAnsi="Times New Roman"/>
          <w:sz w:val="24"/>
          <w:szCs w:val="24"/>
          <w:lang w:val="en-ID"/>
        </w:rPr>
        <w:t>and</w:t>
      </w:r>
      <w:r w:rsidR="00CE6B7C" w:rsidRPr="00CE6B7C">
        <w:rPr>
          <w:rFonts w:ascii="Times New Roman" w:eastAsia="Times New Roman" w:hAnsi="Times New Roman"/>
          <w:sz w:val="24"/>
          <w:szCs w:val="24"/>
          <w:lang w:val="en-ID"/>
        </w:rPr>
        <w:t xml:space="preserve"> Tavassoli </w:t>
      </w:r>
      <w:r w:rsidR="00CE6B7C">
        <w:rPr>
          <w:rFonts w:ascii="Times New Roman" w:eastAsia="Times New Roman" w:hAnsi="Times New Roman"/>
          <w:sz w:val="24"/>
          <w:szCs w:val="24"/>
          <w:lang w:val="en-ID"/>
        </w:rPr>
        <w:t>(</w:t>
      </w:r>
      <w:r w:rsidR="00CE6B7C" w:rsidRPr="00CE6B7C">
        <w:rPr>
          <w:rFonts w:ascii="Times New Roman" w:eastAsia="Times New Roman" w:hAnsi="Times New Roman"/>
          <w:sz w:val="24"/>
          <w:szCs w:val="24"/>
          <w:lang w:val="en-ID"/>
        </w:rPr>
        <w:t>2022)</w:t>
      </w:r>
      <w:r w:rsidR="00CE6B7C">
        <w:rPr>
          <w:rFonts w:ascii="Times New Roman" w:eastAsia="Times New Roman" w:hAnsi="Times New Roman"/>
          <w:sz w:val="24"/>
          <w:szCs w:val="24"/>
          <w:lang w:val="en-ID"/>
        </w:rPr>
        <w:fldChar w:fldCharType="end"/>
      </w:r>
      <w:r w:rsidR="00CE6B7C">
        <w:rPr>
          <w:rFonts w:ascii="Times New Roman" w:eastAsia="Times New Roman" w:hAnsi="Times New Roman"/>
          <w:sz w:val="24"/>
          <w:szCs w:val="24"/>
          <w:lang w:val="en-ID"/>
        </w:rPr>
        <w:t xml:space="preserve"> </w:t>
      </w:r>
      <w:r w:rsidRPr="00FB7B23">
        <w:rPr>
          <w:rFonts w:ascii="Times New Roman" w:eastAsia="Times New Roman" w:hAnsi="Times New Roman"/>
          <w:sz w:val="24"/>
          <w:szCs w:val="24"/>
          <w:lang w:val="en-ID"/>
        </w:rPr>
        <w:t xml:space="preserve">found that electronic portfolio assessment produced differentiated gains across descriptive and narrative writing tasks, with stronger improvement in lower-level mechanical skills than in higher-order organizational skills, a finding that nuances the assumption that digital portfolios uniformly improve all dimensions of writing. More directly, </w:t>
      </w:r>
      <w:r w:rsidR="00CE6B7C">
        <w:rPr>
          <w:rFonts w:ascii="Times New Roman" w:eastAsia="Times New Roman" w:hAnsi="Times New Roman"/>
          <w:sz w:val="24"/>
          <w:szCs w:val="24"/>
          <w:lang w:val="en-ID"/>
        </w:rPr>
        <w:fldChar w:fldCharType="begin" w:fldLock="1"/>
      </w:r>
      <w:r w:rsidR="00CE6B7C">
        <w:rPr>
          <w:rFonts w:ascii="Times New Roman" w:eastAsia="Times New Roman" w:hAnsi="Times New Roman"/>
          <w:sz w:val="24"/>
          <w:szCs w:val="24"/>
          <w:lang w:val="en-ID"/>
        </w:rPr>
        <w:instrText>ADDIN CSL_CITATION {"citationItems":[{"id":"ITEM-1","itemData":{"DOI":"10.1177/21582440241257697","ISSN":"2158-2440","abstract":"This research sought to examine the impact of electronic portfolio -based writing instruction on the second language writing performance and writing self-efficacy of Chinese English as a foreign language (EFL) learners. A total of 64 participants were divided into two groups, an experimental group ( n = 31) and a control group ( n = 33). The experimental group was given electronic portfolio-based instruction via Edmodo platform, while the control group received only traditional in-class writing instruction without the use of Edmodo. Two sample IELTS tasks and Writing Self-efficacy scale were administered to collect the quantitative data. Further, semi-structured interviews were carried out with participants in the experimental group to gather qualitative data on their perceptions and experiences with electronic portfolio-based writing instruction. The results of paired samples t-tests and ANCOVAs indicated that electronic portfolio-based writing instruction significantly improved global writing performance and its underlying components, namely content, organization, language use, vocabulary, and mechanics, as well as the writing self-efficacy of Chinese EFL learners. Qualitative results revealed several themes, including increased motivation, improved feedback, enhanced collaboration, improved writing skills, and increased writing self-efficacy. Overall, the study demonstrates that electronic portfolio can be a valuable tool for EFL writing instruction and has a positive impact on writing performance and writing self-efficacy for Chinese EFL learners.","author":[{"dropping-particle":"","family":"Guo","given":"Hongyu","non-dropping-particle":"","parse-names":false,"suffix":""},{"dropping-particle":"","family":"Li","given":"Dandi","non-dropping-particle":"","parse-names":false,"suffix":""}],"container-title":"Sage Open","id":"ITEM-1","issue":"2","issued":{"date-parts":[["2024","4","24"]]},"title":"The Effect of Electronic Portfolio-Based Writing Instruction on the Second Language Writing Performance and Writing Self-Efficacy of EFL Learners: A Mixed Methods Study","type":"article-journal","volume":"14"},"uris":["http://www.mendeley.com/documents/?uuid=77a5a305-8b6a-4b99-85cc-5c8585f61bdd"]}],"mendeley":{"formattedCitation":"(Guo &amp; Li, 2024)","manualFormatting":"Guo and Li (2024)","plainTextFormattedCitation":"(Guo &amp; Li, 2024)","previouslyFormattedCitation":"(Guo &amp; Li, 2024)"},"properties":{"noteIndex":0},"schema":"https://github.com/citation-style-language/schema/raw/master/csl-citation.json"}</w:instrText>
      </w:r>
      <w:r w:rsidR="00CE6B7C">
        <w:rPr>
          <w:rFonts w:ascii="Times New Roman" w:eastAsia="Times New Roman" w:hAnsi="Times New Roman"/>
          <w:sz w:val="24"/>
          <w:szCs w:val="24"/>
          <w:lang w:val="en-ID"/>
        </w:rPr>
        <w:fldChar w:fldCharType="separate"/>
      </w:r>
      <w:r w:rsidR="00CE6B7C" w:rsidRPr="00CE6B7C">
        <w:rPr>
          <w:rFonts w:ascii="Times New Roman" w:eastAsia="Times New Roman" w:hAnsi="Times New Roman"/>
          <w:sz w:val="24"/>
          <w:szCs w:val="24"/>
          <w:lang w:val="en-ID"/>
        </w:rPr>
        <w:t xml:space="preserve">Guo </w:t>
      </w:r>
      <w:r w:rsidR="00CE6B7C">
        <w:rPr>
          <w:rFonts w:ascii="Times New Roman" w:eastAsia="Times New Roman" w:hAnsi="Times New Roman"/>
          <w:sz w:val="24"/>
          <w:szCs w:val="24"/>
          <w:lang w:val="en-ID"/>
        </w:rPr>
        <w:t>and</w:t>
      </w:r>
      <w:r w:rsidR="00CE6B7C" w:rsidRPr="00CE6B7C">
        <w:rPr>
          <w:rFonts w:ascii="Times New Roman" w:eastAsia="Times New Roman" w:hAnsi="Times New Roman"/>
          <w:sz w:val="24"/>
          <w:szCs w:val="24"/>
          <w:lang w:val="en-ID"/>
        </w:rPr>
        <w:t xml:space="preserve"> Li </w:t>
      </w:r>
      <w:r w:rsidR="00CE6B7C">
        <w:rPr>
          <w:rFonts w:ascii="Times New Roman" w:eastAsia="Times New Roman" w:hAnsi="Times New Roman"/>
          <w:sz w:val="24"/>
          <w:szCs w:val="24"/>
          <w:lang w:val="en-ID"/>
        </w:rPr>
        <w:t>(</w:t>
      </w:r>
      <w:r w:rsidR="00CE6B7C" w:rsidRPr="00CE6B7C">
        <w:rPr>
          <w:rFonts w:ascii="Times New Roman" w:eastAsia="Times New Roman" w:hAnsi="Times New Roman"/>
          <w:sz w:val="24"/>
          <w:szCs w:val="24"/>
          <w:lang w:val="en-ID"/>
        </w:rPr>
        <w:t>2024)</w:t>
      </w:r>
      <w:r w:rsidR="00CE6B7C">
        <w:rPr>
          <w:rFonts w:ascii="Times New Roman" w:eastAsia="Times New Roman" w:hAnsi="Times New Roman"/>
          <w:sz w:val="24"/>
          <w:szCs w:val="24"/>
          <w:lang w:val="en-ID"/>
        </w:rPr>
        <w:fldChar w:fldCharType="end"/>
      </w:r>
      <w:r w:rsidRPr="00FB7B23">
        <w:rPr>
          <w:rFonts w:ascii="Times New Roman" w:eastAsia="Times New Roman" w:hAnsi="Times New Roman"/>
          <w:sz w:val="24"/>
          <w:szCs w:val="24"/>
          <w:lang w:val="en-ID"/>
        </w:rPr>
        <w:t>, in a quasi-experimental study, reported that electronic portfolio-based instruction using Edmodo produced statistically significant gains in EFL learners' writing performance and writing self-efficacy relative to conventional instruction, reinforcing the claim that digital portfolio platforms can meaningfully outperform paper-based or purely teacher-evaluated approaches.</w:t>
      </w:r>
    </w:p>
    <w:p w14:paraId="4481557E" w14:textId="4B799B79" w:rsidR="00FB7B23" w:rsidRPr="00FB7B23" w:rsidRDefault="00FB7B23" w:rsidP="00FB7B23">
      <w:pPr>
        <w:spacing w:line="276" w:lineRule="auto"/>
        <w:ind w:firstLine="567"/>
        <w:jc w:val="both"/>
        <w:rPr>
          <w:rFonts w:ascii="Times New Roman" w:eastAsia="Times New Roman" w:hAnsi="Times New Roman"/>
          <w:sz w:val="24"/>
          <w:szCs w:val="24"/>
          <w:lang w:val="en-ID"/>
        </w:rPr>
      </w:pPr>
      <w:r w:rsidRPr="00FB7B23">
        <w:rPr>
          <w:rFonts w:ascii="Times New Roman" w:eastAsia="Times New Roman" w:hAnsi="Times New Roman"/>
          <w:sz w:val="24"/>
          <w:szCs w:val="24"/>
          <w:lang w:val="en-ID"/>
        </w:rPr>
        <w:lastRenderedPageBreak/>
        <w:t>Related evidence from Indonesian and Southeast Asian secondary and tertiary contexts points toward the same direction.</w:t>
      </w:r>
      <w:r w:rsidR="00CE6B7C">
        <w:rPr>
          <w:rFonts w:ascii="Times New Roman" w:eastAsia="Times New Roman" w:hAnsi="Times New Roman"/>
          <w:sz w:val="24"/>
          <w:szCs w:val="24"/>
          <w:lang w:val="en-ID"/>
        </w:rPr>
        <w:t xml:space="preserve"> </w:t>
      </w:r>
      <w:r w:rsidR="00CE6B7C">
        <w:rPr>
          <w:rFonts w:ascii="Times New Roman" w:eastAsia="Times New Roman" w:hAnsi="Times New Roman"/>
          <w:sz w:val="24"/>
          <w:szCs w:val="24"/>
          <w:lang w:val="en-ID"/>
        </w:rPr>
        <w:fldChar w:fldCharType="begin" w:fldLock="1"/>
      </w:r>
      <w:r w:rsidR="00CE6B7C">
        <w:rPr>
          <w:rFonts w:ascii="Times New Roman" w:eastAsia="Times New Roman" w:hAnsi="Times New Roman"/>
          <w:sz w:val="24"/>
          <w:szCs w:val="24"/>
          <w:lang w:val="en-ID"/>
        </w:rPr>
        <w:instrText>ADDIN CSL_CITATION {"citationItems":[{"id":"ITEM-1","itemData":{"DOI":"10.56943/sujana.v2.i1.255","ISSN":"2964-3902","abstract":"Learning media is one of the very important learning components as a bridge in the delivery of material. The use of media in learning can have a positive impact and tremendous benefits in facilitating the student learning process. Learning media is also an indispensable basis for the success of the learning process. The aims of this study were (1) to determine student learning outcomes using conventional media based on animated videos (2) to analyze differences in learning outcomes between students using conventional media and animated videos. The stages of this research method are quasi-experimental research with pretest and posttest designs. The subjects of this study were students of class X at SMK Bhina ​​Karya Karanganyar and SMK Satya Karya Karanganyar. Taking the research class through random sampling technique based on the adjustment of the material to the class curriculum. Activities in data analysis include data processing activities and statistical analysis. This test was carried out on pre-test and post-test data, changes in post-test scores from pre-test scores on the experimental group. The conclusion of this study is that the learning model through learning media through interactive video is able to motivate students so that learning achievement can increase. Students gave a positive response to the implementation of the learning model using interactive videos.","author":[{"dropping-particle":"","family":"Firdaus","given":"Erma Nurhayati","non-dropping-particle":"","parse-names":false,"suffix":""},{"dropping-particle":"","family":"Wulandari","given":"Rahaju Muljo","non-dropping-particle":"","parse-names":false,"suffix":""},{"dropping-particle":"","family":"Arini","given":"Liss Dyah Dewi","non-dropping-particle":"","parse-names":false,"suffix":""}],"container-title":"SUJANA (Education and Learning Review)","id":"ITEM-1","issue":"1","issued":{"date-parts":[["2023","2","10"]]},"page":"17-26","title":"ENGLISH BASED SMART INNOVATION THROUGH INTERACTIVE VIDEO AT BHINA KARYA AND SATYA KARYA KARANGANYAR VOCATIONAL SCHOOLS","type":"article-journal","volume":"2"},"uris":["http://www.mendeley.com/documents/?uuid=3491e3cc-8447-49e6-b96f-77332edce3f8"]}],"mendeley":{"formattedCitation":"(Firdaus et al., 2023)","manualFormatting":"Firdaus et al. (2023)","plainTextFormattedCitation":"(Firdaus et al., 2023)","previouslyFormattedCitation":"(Firdaus et al., 2023)"},"properties":{"noteIndex":0},"schema":"https://github.com/citation-style-language/schema/raw/master/csl-citation.json"}</w:instrText>
      </w:r>
      <w:r w:rsidR="00CE6B7C">
        <w:rPr>
          <w:rFonts w:ascii="Times New Roman" w:eastAsia="Times New Roman" w:hAnsi="Times New Roman"/>
          <w:sz w:val="24"/>
          <w:szCs w:val="24"/>
          <w:lang w:val="en-ID"/>
        </w:rPr>
        <w:fldChar w:fldCharType="separate"/>
      </w:r>
      <w:r w:rsidR="00CE6B7C" w:rsidRPr="00CE6B7C">
        <w:rPr>
          <w:rFonts w:ascii="Times New Roman" w:eastAsia="Times New Roman" w:hAnsi="Times New Roman"/>
          <w:sz w:val="24"/>
          <w:szCs w:val="24"/>
          <w:lang w:val="en-ID"/>
        </w:rPr>
        <w:t xml:space="preserve">Firdaus et al. </w:t>
      </w:r>
      <w:r w:rsidR="00CE6B7C">
        <w:rPr>
          <w:rFonts w:ascii="Times New Roman" w:eastAsia="Times New Roman" w:hAnsi="Times New Roman"/>
          <w:sz w:val="24"/>
          <w:szCs w:val="24"/>
          <w:lang w:val="en-ID"/>
        </w:rPr>
        <w:t>(</w:t>
      </w:r>
      <w:r w:rsidR="00CE6B7C" w:rsidRPr="00CE6B7C">
        <w:rPr>
          <w:rFonts w:ascii="Times New Roman" w:eastAsia="Times New Roman" w:hAnsi="Times New Roman"/>
          <w:sz w:val="24"/>
          <w:szCs w:val="24"/>
          <w:lang w:val="en-ID"/>
        </w:rPr>
        <w:t>2023)</w:t>
      </w:r>
      <w:r w:rsidR="00CE6B7C">
        <w:rPr>
          <w:rFonts w:ascii="Times New Roman" w:eastAsia="Times New Roman" w:hAnsi="Times New Roman"/>
          <w:sz w:val="24"/>
          <w:szCs w:val="24"/>
          <w:lang w:val="en-ID"/>
        </w:rPr>
        <w:fldChar w:fldCharType="end"/>
      </w:r>
      <w:r w:rsidRPr="00FB7B23">
        <w:rPr>
          <w:rFonts w:ascii="Times New Roman" w:eastAsia="Times New Roman" w:hAnsi="Times New Roman"/>
          <w:sz w:val="24"/>
          <w:szCs w:val="24"/>
          <w:lang w:val="en-ID"/>
        </w:rPr>
        <w:t xml:space="preserve"> found that interactive video-based learning media produced measurable gains in English learning outcomes relative to conventional instruction at the vocational school level, indicating that Indonesian secondary learners respond positively to digitally mediated language instruction more broadly. Complementarily, </w:t>
      </w:r>
      <w:r w:rsidR="00CE6B7C">
        <w:rPr>
          <w:rFonts w:ascii="Times New Roman" w:eastAsia="Times New Roman" w:hAnsi="Times New Roman"/>
          <w:sz w:val="24"/>
          <w:szCs w:val="24"/>
          <w:lang w:val="en-ID"/>
        </w:rPr>
        <w:fldChar w:fldCharType="begin" w:fldLock="1"/>
      </w:r>
      <w:r w:rsidR="00CE6B7C">
        <w:rPr>
          <w:rFonts w:ascii="Times New Roman" w:eastAsia="Times New Roman" w:hAnsi="Times New Roman"/>
          <w:sz w:val="24"/>
          <w:szCs w:val="24"/>
          <w:lang w:val="en-ID"/>
        </w:rPr>
        <w:instrText>ADDIN CSL_CITATION {"citationItems":[{"id":"ITEM-1","itemData":{"DOI":"10.56943/sujana.v3i2.617","ISSN":"2964-3902","abstract":"Every university session includes an oral presentation to help students acquire confidence in their speaking skills. However, these are still challenging that university students and lecturers encounter while fostering speaking abilities in an EFL/ESL environment. This study looks at the obstacles that EFL/ESL lecturers experience when utilizing oral presentations to enhance speaking abilities, as well as techniques for increasing student confidence. The qualitative technique was utilized to collect interview data, and the quantitative approach was used to investigate the frequency and proportion of existing issues and practices by utilizing oral presentations to improve speaking abilities. The study discovered that student-related constraints are the most important impediments, with presentation-related concerns, teacher-related factors, language-related limits, and fluency challenges all contributing. To boost student confidence and increase oral presentation efficacy, the study suggests tactics such as establishing the presenting class, organizing the presentation, using visual aids, self-reflection, and offering positive feedback. While instructors who encouraged questions and held post-presentation Q&amp;A sessions were found to be useful, there was more diversity in replies when lecturers wrote questions and provided more time or technological knowledge. Overall, the study underlines the significance of addressing both student and instructor characteristics in order to establish a supportive learning environment in EFL/ESL classrooms that promotes good oral communication.","author":[{"dropping-particle":"","family":"By","given":"Dr. Loeung","non-dropping-particle":"","parse-names":false,"suffix":""},{"dropping-particle":"","family":"Veng","given":"Bunthol","non-dropping-particle":"","parse-names":false,"suffix":""}],"container-title":"SUJANA (Education and Learning Review)","id":"ITEM-1","issued":{"date-parts":[["2024","9","20"]]},"page":"64-76","title":"USING ORAL PRESENTATION TO PROMOTE SPEAKING ENGLISH IN EFL/ESL CONTEXT","type":"article-journal"},"uris":["http://www.mendeley.com/documents/?uuid=ac2d1912-f53a-4631-8903-c2811921c0a1"]}],"mendeley":{"formattedCitation":"(By &amp; Veng, 2024)","manualFormatting":"By and Veng (2024)","plainTextFormattedCitation":"(By &amp; Veng, 2024)","previouslyFormattedCitation":"(By &amp; Veng, 2024)"},"properties":{"noteIndex":0},"schema":"https://github.com/citation-style-language/schema/raw/master/csl-citation.json"}</w:instrText>
      </w:r>
      <w:r w:rsidR="00CE6B7C">
        <w:rPr>
          <w:rFonts w:ascii="Times New Roman" w:eastAsia="Times New Roman" w:hAnsi="Times New Roman"/>
          <w:sz w:val="24"/>
          <w:szCs w:val="24"/>
          <w:lang w:val="en-ID"/>
        </w:rPr>
        <w:fldChar w:fldCharType="separate"/>
      </w:r>
      <w:r w:rsidR="00CE6B7C" w:rsidRPr="00CE6B7C">
        <w:rPr>
          <w:rFonts w:ascii="Times New Roman" w:eastAsia="Times New Roman" w:hAnsi="Times New Roman"/>
          <w:sz w:val="24"/>
          <w:szCs w:val="24"/>
          <w:lang w:val="en-ID"/>
        </w:rPr>
        <w:t xml:space="preserve">By </w:t>
      </w:r>
      <w:r w:rsidR="00CE6B7C">
        <w:rPr>
          <w:rFonts w:ascii="Times New Roman" w:eastAsia="Times New Roman" w:hAnsi="Times New Roman"/>
          <w:sz w:val="24"/>
          <w:szCs w:val="24"/>
          <w:lang w:val="en-ID"/>
        </w:rPr>
        <w:t>and</w:t>
      </w:r>
      <w:r w:rsidR="00CE6B7C" w:rsidRPr="00CE6B7C">
        <w:rPr>
          <w:rFonts w:ascii="Times New Roman" w:eastAsia="Times New Roman" w:hAnsi="Times New Roman"/>
          <w:sz w:val="24"/>
          <w:szCs w:val="24"/>
          <w:lang w:val="en-ID"/>
        </w:rPr>
        <w:t xml:space="preserve"> Veng </w:t>
      </w:r>
      <w:r w:rsidR="00CE6B7C">
        <w:rPr>
          <w:rFonts w:ascii="Times New Roman" w:eastAsia="Times New Roman" w:hAnsi="Times New Roman"/>
          <w:sz w:val="24"/>
          <w:szCs w:val="24"/>
          <w:lang w:val="en-ID"/>
        </w:rPr>
        <w:t>(</w:t>
      </w:r>
      <w:r w:rsidR="00CE6B7C" w:rsidRPr="00CE6B7C">
        <w:rPr>
          <w:rFonts w:ascii="Times New Roman" w:eastAsia="Times New Roman" w:hAnsi="Times New Roman"/>
          <w:sz w:val="24"/>
          <w:szCs w:val="24"/>
          <w:lang w:val="en-ID"/>
        </w:rPr>
        <w:t>2024)</w:t>
      </w:r>
      <w:r w:rsidR="00CE6B7C">
        <w:rPr>
          <w:rFonts w:ascii="Times New Roman" w:eastAsia="Times New Roman" w:hAnsi="Times New Roman"/>
          <w:sz w:val="24"/>
          <w:szCs w:val="24"/>
          <w:lang w:val="en-ID"/>
        </w:rPr>
        <w:fldChar w:fldCharType="end"/>
      </w:r>
      <w:r w:rsidR="00CE6B7C">
        <w:rPr>
          <w:rFonts w:ascii="Times New Roman" w:eastAsia="Times New Roman" w:hAnsi="Times New Roman"/>
          <w:sz w:val="24"/>
          <w:szCs w:val="24"/>
          <w:lang w:val="en-ID"/>
        </w:rPr>
        <w:t xml:space="preserve"> </w:t>
      </w:r>
      <w:r w:rsidRPr="00FB7B23">
        <w:rPr>
          <w:rFonts w:ascii="Times New Roman" w:eastAsia="Times New Roman" w:hAnsi="Times New Roman"/>
          <w:sz w:val="24"/>
          <w:szCs w:val="24"/>
          <w:lang w:val="en-ID"/>
        </w:rPr>
        <w:t>examined oral presentation as a means of developing EFL speaking proficiency and identified student-related and instructional constraints as the primary obstacles to effective skill development, a pattern that resonates with the implementation barriers digital portfolio adoption is also likely to encounter in writing classrooms. Taken together, these studies confirm sustained scholarly engagement with technology-mediated and alternative assessment practices across Indonesian and regional language education, situating the present review within an active and continuing scholarly conversation.</w:t>
      </w:r>
    </w:p>
    <w:p w14:paraId="30B9A634" w14:textId="1F6358DC" w:rsidR="00FB7B23" w:rsidRPr="00FB7B23" w:rsidRDefault="00FB7B23" w:rsidP="00FB7B23">
      <w:pPr>
        <w:spacing w:line="276" w:lineRule="auto"/>
        <w:ind w:firstLine="567"/>
        <w:jc w:val="both"/>
        <w:rPr>
          <w:rFonts w:ascii="Times New Roman" w:eastAsia="Times New Roman" w:hAnsi="Times New Roman"/>
          <w:sz w:val="24"/>
          <w:szCs w:val="24"/>
          <w:lang w:val="en-ID"/>
        </w:rPr>
      </w:pPr>
      <w:r w:rsidRPr="00FB7B23">
        <w:rPr>
          <w:rFonts w:ascii="Times New Roman" w:eastAsia="Times New Roman" w:hAnsi="Times New Roman"/>
          <w:sz w:val="24"/>
          <w:szCs w:val="24"/>
          <w:lang w:val="en-ID"/>
        </w:rPr>
        <w:t>Despite this expanding body of work, a specific gap persists. Most existing studies on digital and electronic portfolios are situated in higher education or EFL contexts outside Indonesia, while Indonesian-context studies have so far concentrated on interactive video and oral presentation rather than portfolio-based writing assessment specifically</w:t>
      </w:r>
      <w:r w:rsidR="00CE6B7C">
        <w:rPr>
          <w:rFonts w:ascii="Times New Roman" w:eastAsia="Times New Roman" w:hAnsi="Times New Roman"/>
          <w:sz w:val="24"/>
          <w:szCs w:val="24"/>
          <w:lang w:val="en-ID"/>
        </w:rPr>
        <w:t xml:space="preserve"> </w:t>
      </w:r>
      <w:r w:rsidR="00CE6B7C">
        <w:rPr>
          <w:rFonts w:ascii="Times New Roman" w:eastAsia="Times New Roman" w:hAnsi="Times New Roman"/>
          <w:sz w:val="24"/>
          <w:szCs w:val="24"/>
          <w:lang w:val="en-ID"/>
        </w:rPr>
        <w:fldChar w:fldCharType="begin" w:fldLock="1"/>
      </w:r>
      <w:r w:rsidR="00CE6B7C">
        <w:rPr>
          <w:rFonts w:ascii="Times New Roman" w:eastAsia="Times New Roman" w:hAnsi="Times New Roman"/>
          <w:sz w:val="24"/>
          <w:szCs w:val="24"/>
          <w:lang w:val="en-ID"/>
        </w:rPr>
        <w:instrText>ADDIN CSL_CITATION {"citationItems":[{"id":"ITEM-1","itemData":{"DOI":"10.1186/s40468-022-00156-7","ISSN":"2229-0443","abstract":"Portfolio assessment (PA) as an assessment for learning (AfL) alternative has been under-represented in second/foreign language acquisition (SLA) research literature. This study examined the potential impacts of electronic PA (e-PA) on English-as-a-Foreign-Language (EFL) learners’ engagement modes in descriptive and narrative genres of writing on Moodle™. To do so, 56 university students were non-randomly selected and assigned into two intermediate-level EFL cohorts. In a pretest-mediation-posttest study, descriptive and narrative writing tasks completed by two groups were subjected to teacher feedback, student reflection logs, and subsequent revision every week. Results of repeated measures ANOVA indicated significant progress in lower-level skills (sentence structure, word choice/grammar, mechanics), and moderate progress in higher-level skills (organization, development) in both groups’ genre-based writing. Results of one-way ANCOVA reported the notable pretest-to-posttest achievement by both groups with no intergroup statistical differences. The content of students’ reflection logs was inductively analyzed for their behavioral, emotional, and cognitive modes of engagement in e-PA. Qualitative data analysis indicated similar writing time intervals and recurrence of revisions as the behavioral mode of both groups. Participants also expressed novelty, low anxiety, and enjoyment as their emotional experiences. In terms of their cognitive experience, the majority agreed upon the applicability of teacher feedback and positive perception of writing improvement in e-PA. Yet, they were critical to regular mismatches between the scopes of teacher assessment and self-assessment, as well as teacher linguistic bias towards certain writing features. Several pedagogical implications of the study promote the facilitating role of e-PA in genre-based academic writing and e-learning contexts.","author":[{"dropping-particle":"","family":"Pourdana","given":"Natasha","non-dropping-particle":"","parse-names":false,"suffix":""},{"dropping-particle":"","family":"Tavassoli","given":"Kobra","non-dropping-particle":"","parse-names":false,"suffix":""}],"container-title":"Language Testing in Asia","id":"ITEM-1","issue":"1","issued":{"date-parts":[["2022","12","15"]]},"page":"7","title":"Differential impacts of e-portfolio assessment on language learners’ engagement modes and genre-based writing improvement","type":"article-journal","volume":"12"},"uris":["http://www.mendeley.com/documents/?uuid=056076df-17c3-4c28-85e2-fd0e4abd2a02"]},{"id":"ITEM-2","itemData":{"DOI":"10.56943/sujana.v3i2.617","ISSN":"2964-3902","abstract":"Every university session includes an oral presentation to help students acquire confidence in their speaking skills. However, these are still challenging that university students and lecturers encounter while fostering speaking abilities in an EFL/ESL environment. This study looks at the obstacles that EFL/ESL lecturers experience when utilizing oral presentations to enhance speaking abilities, as well as techniques for increasing student confidence. The qualitative technique was utilized to collect interview data, and the quantitative approach was used to investigate the frequency and proportion of existing issues and practices by utilizing oral presentations to improve speaking abilities. The study discovered that student-related constraints are the most important impediments, with presentation-related concerns, teacher-related factors, language-related limits, and fluency challenges all contributing. To boost student confidence and increase oral presentation efficacy, the study suggests tactics such as establishing the presenting class, organizing the presentation, using visual aids, self-reflection, and offering positive feedback. While instructors who encouraged questions and held post-presentation Q&amp;A sessions were found to be useful, there was more diversity in replies when lecturers wrote questions and provided more time or technological knowledge. Overall, the study underlines the significance of addressing both student and instructor characteristics in order to establish a supportive learning environment in EFL/ESL classrooms that promotes good oral communication.","author":[{"dropping-particle":"","family":"By","given":"Dr. Loeung","non-dropping-particle":"","parse-names":false,"suffix":""},{"dropping-particle":"","family":"Veng","given":"Bunthol","non-dropping-particle":"","parse-names":false,"suffix":""}],"container-title":"SUJANA (Education and Learning Review)","id":"ITEM-2","issued":{"date-parts":[["2024","9","20"]]},"page":"64-76","title":"USING ORAL PRESENTATION TO PROMOTE SPEAKING ENGLISH IN EFL/ESL CONTEXT","type":"article-journal"},"uris":["http://www.mendeley.com/documents/?uuid=ac2d1912-f53a-4631-8903-c2811921c0a1"]}],"mendeley":{"formattedCitation":"(By &amp; Veng, 2024; Pourdana &amp; Tavassoli, 2022)","plainTextFormattedCitation":"(By &amp; Veng, 2024; Pourdana &amp; Tavassoli, 2022)","previouslyFormattedCitation":"(By &amp; Veng, 2024; Pourdana &amp; Tavassoli, 2022)"},"properties":{"noteIndex":0},"schema":"https://github.com/citation-style-language/schema/raw/master/csl-citation.json"}</w:instrText>
      </w:r>
      <w:r w:rsidR="00CE6B7C">
        <w:rPr>
          <w:rFonts w:ascii="Times New Roman" w:eastAsia="Times New Roman" w:hAnsi="Times New Roman"/>
          <w:sz w:val="24"/>
          <w:szCs w:val="24"/>
          <w:lang w:val="en-ID"/>
        </w:rPr>
        <w:fldChar w:fldCharType="separate"/>
      </w:r>
      <w:r w:rsidR="00CE6B7C" w:rsidRPr="00CE6B7C">
        <w:rPr>
          <w:rFonts w:ascii="Times New Roman" w:eastAsia="Times New Roman" w:hAnsi="Times New Roman"/>
          <w:sz w:val="24"/>
          <w:szCs w:val="24"/>
          <w:lang w:val="en-ID"/>
        </w:rPr>
        <w:t>(By &amp; Veng, 2024; Pourdana &amp; Tavassoli, 2022)</w:t>
      </w:r>
      <w:r w:rsidR="00CE6B7C">
        <w:rPr>
          <w:rFonts w:ascii="Times New Roman" w:eastAsia="Times New Roman" w:hAnsi="Times New Roman"/>
          <w:sz w:val="24"/>
          <w:szCs w:val="24"/>
          <w:lang w:val="en-ID"/>
        </w:rPr>
        <w:fldChar w:fldCharType="end"/>
      </w:r>
      <w:r w:rsidRPr="00FB7B23">
        <w:rPr>
          <w:rFonts w:ascii="Times New Roman" w:eastAsia="Times New Roman" w:hAnsi="Times New Roman"/>
          <w:sz w:val="24"/>
          <w:szCs w:val="24"/>
          <w:lang w:val="en-ID"/>
        </w:rPr>
        <w:t>. A search of Scopus- and SINTA-indexed databases using the keywords digital portfolio, authentic assessment, writing learning, and Merdeka Curriculum yields no conceptual review that synthesizes how digital portfolio assessment, as a distinct instrument, aligns with the assessment philosophy of the Merdeka Curriculum within Indonesian secondary-level writing instruction. Most Indonesian classrooms, meanwhile, continue to rely on conventional assessment approaches centered on written tests and final grades, and electronic portfolios, although recognized in principle as authentic assessment instruments, remain constrained in practice by teachers' limited familiarity with integrating them into routine instruction</w:t>
      </w:r>
      <w:r w:rsidR="00CE6B7C">
        <w:rPr>
          <w:rFonts w:ascii="Times New Roman" w:eastAsia="Times New Roman" w:hAnsi="Times New Roman"/>
          <w:sz w:val="24"/>
          <w:szCs w:val="24"/>
          <w:lang w:val="en-ID"/>
        </w:rPr>
        <w:t xml:space="preserve"> </w:t>
      </w:r>
      <w:r w:rsidR="00CE6B7C">
        <w:rPr>
          <w:rFonts w:ascii="Times New Roman" w:eastAsia="Times New Roman" w:hAnsi="Times New Roman"/>
          <w:sz w:val="24"/>
          <w:szCs w:val="24"/>
          <w:lang w:val="en-ID"/>
        </w:rPr>
        <w:fldChar w:fldCharType="begin" w:fldLock="1"/>
      </w:r>
      <w:r w:rsidR="00CE6B7C">
        <w:rPr>
          <w:rFonts w:ascii="Times New Roman" w:eastAsia="Times New Roman" w:hAnsi="Times New Roman"/>
          <w:sz w:val="24"/>
          <w:szCs w:val="24"/>
          <w:lang w:val="en-ID"/>
        </w:rPr>
        <w:instrText>ADDIN CSL_CITATION {"citationItems":[{"id":"ITEM-1","itemData":{"DOI":"10.62870/WJIRPM.V7I1.37444","ISSN":"2798-1541","abstract":"Kurikulum Merdeka menekankan pembelajaran berbasis kompetensi yang mendorong peserta didik untuk menguasai pengetahuan, keterampilan, dan sikap secara holistik melalui pengalaman belajar yang bermakna. Dalam konteks ini, asesmen autentik menjadi instrumen penting untuk menilai kemampuan nyata siswa dalam menerapkan konsep matematika dan sains melalui tugas-tugas kinerja seperti proyek, eksperimen, portofolio, dan penyelesaian masalah kontekstual. Namun, berbagai temuan di lapangan menunjukkan bahwa implementasi asesmen autentik dalam pembelajaran MIPA masih menghadapi tantangan, termasuk dominasi asesmen tradisional, keterbatasan kemampuan guru dalam merancang dan menggunakan rubrik, kurangnya instrumen yang valid, serta keterbatasan fasilitas pendukung. Penelitian ini menggunakan metode studi literatur dari berbagai sumber ilmiah terkini untuk memetakan konsep, implementasi, tantangan, dan peluang asesmen autentik berbasis kompetensi dalam pembelajaran MIPA. Hasil kajian menunjukkan bahwa asesmen autentik mampu meningkatkan keterampilan berpikir tingkat tinggi, literasi sains, keterlibatan siswa, dan kemampuan komunikasi ilmiah. Meskipun demikian, praktiknya belum optimal karena dipengaruhi oleh kesiapan guru, keterbatasan waktu, kesenjangan infrastruktur, dan belum meratanya pemahaman tentang karakteristik tugas autentik. Studi ini menegaskan perlunya penguatan kapasitas guru, penyediaan perangkat asesmen yang terstandar dan adaptif, dukungan sistemik sekolah, serta pemanfaatan teknologi dalam rangka meningkatkan kualitas implementasi asesmen autentik. Dengan demikian, asesmen autentik berbasis kompetensi memiliki potensi besar untuk memperkuat pembelajaran MIPA di Kurikulum Merdeka dan mewujudkan pembelajaran yang mendalam, relevan, dan berorientasi pada kompetensi abad ke-21.","author":[{"dropping-particle":"","family":"Rosidah","given":"Ai","non-dropping-particle":"","parse-names":false,"suffix":""},{"dropping-particle":"","family":"Nurhayati","given":"Dede","non-dropping-particle":"","parse-names":false,"suffix":""},{"dropping-particle":"","family":"Setiawan","given":"Roy","non-dropping-particle":"","parse-names":false,"suffix":""},{"dropping-particle":"","family":"Rodiah","given":"Rodiah","non-dropping-particle":"","parse-names":false,"suffix":""},{"dropping-particle":"","family":"Mawarni","given":"Eva","non-dropping-particle":"","parse-names":false,"suffix":""}],"container-title":"Wilangan: Jurnal Inovasi dan Riset Pendidikan Matematika","id":"ITEM-1","issue":"1","issued":{"date-parts":[["2026","3","1"]]},"page":"8-23","title":"Implementasi Asesmen Autentik Berbasis Kompetensi dalam Pembelajaran MIPA pada Kurikulum Merdeka","type":"article-journal","volume":"7"},"uris":["http://www.mendeley.com/documents/?uuid=4615df2d-7b97-3e39-ba62-4f3657ac7f6a"]},{"id":"ITEM-2","itemData":{"DOI":"10.31004/basicedu.v6i2.2236","ISSN":"2580-1147","abstract":"Sejalan dengan perkembangan zaman, terlihat adanya peningkatan dalam penggunaan teknologi digital. Salah satunya dalam dunia pendidikan, baik dalam perencaan pembelajaran, kegiatan pembelajaran, hingga penilaian dan evaluasi pembelajaran sudah beralih menggunakan media digital. Elektronik portofolio menjadi salah satu wujud dari digitalisasi tersebut. Tujuan penelitian ini adalah untuk mengetahui pemanfaatan elektronik portofolio sebagai instrument penilaian pembelajaran siswa pada era digital. Penelitian ini menggunakan metode penelitian kualitatif dengan jenis pendekatan studi pustaka (library research). Hasil penelitian ini menyatakan bahwa penggunaan elektronik portofolio dapat membuat penilaian pembelajaran dan pencapaian siswa menjadi lebih efektif, efisien, dan lebih praktis. Selain itu, dibandingkan dengan portofolio konvensional berbasis kertas, elektronik portofolio lebih fleksibel karena dapat diakses kapan saja dan dimana saja hal tersebut karena e-portofolio memungkinkan akses jaringan dan koneksi yang lebih luas, penilaian yang lebih inovatif dan bervariasi, serta memungkinkan adanya kolaborasi antar siswa.","author":[{"dropping-particle":"","family":"Masluhah","given":"Masluhah","non-dropping-particle":"","parse-names":false,"suffix":""},{"dropping-particle":"","family":"Afifah","given":"Kiki Rizkiatul","non-dropping-particle":"","parse-names":false,"suffix":""}],"container-title":"Jurnal Basicedu","id":"ITEM-2","issue":"2","issued":{"date-parts":[["2022","2","9"]]},"page":"1883-1896","title":"Electronic Portofolio Sebagai Instrumen Penilaian Pembelajaran Siswa di Era Digital","type":"article-journal","volume":"6"},"uris":["http://www.mendeley.com/documents/?uuid=fd8a9803-dbdf-498f-9217-9c5ac0ca4591"]}],"mendeley":{"formattedCitation":"(Masluhah &amp; Afifah, 2022; Rosidah et al., 2026)","plainTextFormattedCitation":"(Masluhah &amp; Afifah, 2022; Rosidah et al., 2026)","previouslyFormattedCitation":"(Masluhah &amp; Afifah, 2022; Rosidah et al., 2026)"},"properties":{"noteIndex":0},"schema":"https://github.com/citation-style-language/schema/raw/master/csl-citation.json"}</w:instrText>
      </w:r>
      <w:r w:rsidR="00CE6B7C">
        <w:rPr>
          <w:rFonts w:ascii="Times New Roman" w:eastAsia="Times New Roman" w:hAnsi="Times New Roman"/>
          <w:sz w:val="24"/>
          <w:szCs w:val="24"/>
          <w:lang w:val="en-ID"/>
        </w:rPr>
        <w:fldChar w:fldCharType="separate"/>
      </w:r>
      <w:r w:rsidR="00CE6B7C" w:rsidRPr="00CE6B7C">
        <w:rPr>
          <w:rFonts w:ascii="Times New Roman" w:eastAsia="Times New Roman" w:hAnsi="Times New Roman"/>
          <w:sz w:val="24"/>
          <w:szCs w:val="24"/>
          <w:lang w:val="en-ID"/>
        </w:rPr>
        <w:t>(Masluhah &amp; Afifah, 2022; Rosidah et al., 2026)</w:t>
      </w:r>
      <w:r w:rsidR="00CE6B7C">
        <w:rPr>
          <w:rFonts w:ascii="Times New Roman" w:eastAsia="Times New Roman" w:hAnsi="Times New Roman"/>
          <w:sz w:val="24"/>
          <w:szCs w:val="24"/>
          <w:lang w:val="en-ID"/>
        </w:rPr>
        <w:fldChar w:fldCharType="end"/>
      </w:r>
      <w:r w:rsidRPr="00FB7B23">
        <w:rPr>
          <w:rFonts w:ascii="Times New Roman" w:eastAsia="Times New Roman" w:hAnsi="Times New Roman"/>
          <w:sz w:val="24"/>
          <w:szCs w:val="24"/>
          <w:lang w:val="en-ID"/>
        </w:rPr>
        <w:t>. This combination of policy ambition and implementation gap constitutes the academic justification for the present article.</w:t>
      </w:r>
    </w:p>
    <w:p w14:paraId="5D29F427" w14:textId="77777777" w:rsidR="00FB7B23" w:rsidRPr="00FB7B23" w:rsidRDefault="00FB7B23" w:rsidP="00FB7B23">
      <w:pPr>
        <w:spacing w:line="276" w:lineRule="auto"/>
        <w:ind w:firstLine="567"/>
        <w:jc w:val="both"/>
        <w:rPr>
          <w:rFonts w:ascii="Times New Roman" w:eastAsia="Times New Roman" w:hAnsi="Times New Roman"/>
          <w:sz w:val="24"/>
          <w:szCs w:val="24"/>
          <w:lang w:val="en-ID"/>
        </w:rPr>
      </w:pPr>
      <w:r w:rsidRPr="00FB7B23">
        <w:rPr>
          <w:rFonts w:ascii="Times New Roman" w:eastAsia="Times New Roman" w:hAnsi="Times New Roman"/>
          <w:sz w:val="24"/>
          <w:szCs w:val="24"/>
          <w:lang w:val="en-ID"/>
        </w:rPr>
        <w:t>Accordingly, this conceptual review offers two principal novelties. First, it is, to the authors' knowledge, the first conceptual synthesis to position digital portfolio assessment explicitly within the philosophical and assessment architecture of the Merdeka Curriculum, rather than treating the two as loosely associated topics. Second, it moves beyond the single-context empirical studies that currently dominate the literature, such as elementary-level or higher-education e-portfolio research, by constructing a conceptual framework applicable specifically to secondary-level Indonesian writing instruction, an educational level and a national context that current digital portfolio scholarship has not yet adequately addressed.</w:t>
      </w:r>
    </w:p>
    <w:p w14:paraId="2D885F26" w14:textId="77777777" w:rsidR="00FB7B23" w:rsidRPr="00FB7B23" w:rsidRDefault="00FB7B23" w:rsidP="00FB7B23">
      <w:pPr>
        <w:spacing w:line="276" w:lineRule="auto"/>
        <w:ind w:firstLine="567"/>
        <w:jc w:val="both"/>
        <w:rPr>
          <w:rFonts w:ascii="Times New Roman" w:eastAsia="Times New Roman" w:hAnsi="Times New Roman"/>
          <w:sz w:val="24"/>
          <w:szCs w:val="24"/>
          <w:lang w:val="en-ID"/>
        </w:rPr>
      </w:pPr>
      <w:r w:rsidRPr="00FB7B23">
        <w:rPr>
          <w:rFonts w:ascii="Times New Roman" w:eastAsia="Times New Roman" w:hAnsi="Times New Roman"/>
          <w:sz w:val="24"/>
          <w:szCs w:val="24"/>
          <w:lang w:val="en-ID"/>
        </w:rPr>
        <w:t xml:space="preserve">Based on the foregoing, this article aims to: (1) examine the concept and basic principles of digital portfolio assessment; (2) analyze the alignment between digital </w:t>
      </w:r>
      <w:r w:rsidRPr="00FB7B23">
        <w:rPr>
          <w:rFonts w:ascii="Times New Roman" w:eastAsia="Times New Roman" w:hAnsi="Times New Roman"/>
          <w:sz w:val="24"/>
          <w:szCs w:val="24"/>
          <w:lang w:val="en-ID"/>
        </w:rPr>
        <w:lastRenderedPageBreak/>
        <w:t>portfolio assessment and the principles of the Merdeka Curriculum; (3) describe the urgency of applying digital portfolios in writing instruction; and (4) identify the challenges and solutions for their implementation in educational institutions.</w:t>
      </w:r>
    </w:p>
    <w:p w14:paraId="7A5C8C4A" w14:textId="61AA5173" w:rsidR="003577CE" w:rsidRDefault="003577CE" w:rsidP="00D51EED">
      <w:pPr>
        <w:tabs>
          <w:tab w:val="right" w:pos="9360"/>
        </w:tabs>
        <w:spacing w:before="240" w:after="240"/>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LITERATURE REVIEW</w:t>
      </w:r>
    </w:p>
    <w:p w14:paraId="697095EE" w14:textId="072D6949" w:rsidR="00DA5C36" w:rsidRPr="00DA5C36" w:rsidRDefault="00FB7B23" w:rsidP="00FB7B23">
      <w:pPr>
        <w:spacing w:line="276" w:lineRule="auto"/>
        <w:jc w:val="both"/>
        <w:rPr>
          <w:rFonts w:ascii="Times New Roman" w:eastAsia="Times New Roman" w:hAnsi="Times New Roman"/>
          <w:b/>
          <w:sz w:val="24"/>
          <w:szCs w:val="24"/>
        </w:rPr>
      </w:pPr>
      <w:r w:rsidRPr="00FB7B23">
        <w:rPr>
          <w:rFonts w:ascii="Times New Roman" w:eastAsia="Times New Roman" w:hAnsi="Times New Roman"/>
          <w:b/>
          <w:sz w:val="24"/>
          <w:szCs w:val="24"/>
        </w:rPr>
        <w:t>The Concept of Portfolio Assessment and Its Evolution toward the Digital Format</w:t>
      </w:r>
    </w:p>
    <w:p w14:paraId="632F1031" w14:textId="23318A87" w:rsidR="00FB7B23" w:rsidRPr="00FB7B23" w:rsidRDefault="00FB7B23" w:rsidP="00FB7B23">
      <w:pPr>
        <w:spacing w:line="276" w:lineRule="auto"/>
        <w:ind w:firstLine="567"/>
        <w:jc w:val="both"/>
        <w:rPr>
          <w:rFonts w:ascii="Times New Roman" w:eastAsia="Times New Roman" w:hAnsi="Times New Roman"/>
          <w:sz w:val="24"/>
          <w:szCs w:val="24"/>
          <w:lang w:val="en-ID"/>
        </w:rPr>
      </w:pPr>
      <w:r w:rsidRPr="00FB7B23">
        <w:rPr>
          <w:rFonts w:ascii="Times New Roman" w:eastAsia="Times New Roman" w:hAnsi="Times New Roman"/>
          <w:sz w:val="24"/>
          <w:szCs w:val="24"/>
          <w:lang w:val="en-ID"/>
        </w:rPr>
        <w:t>Portfolio assessment is most usefully understood not as a single technique but as a purposeful, organized collection of student work that documents effort, progress, and achievement over a defined period of learning</w:t>
      </w:r>
      <w:r w:rsidR="002C0006">
        <w:rPr>
          <w:rFonts w:ascii="Times New Roman" w:eastAsia="Times New Roman" w:hAnsi="Times New Roman"/>
          <w:sz w:val="24"/>
          <w:szCs w:val="24"/>
          <w:lang w:val="en-ID"/>
        </w:rPr>
        <w:t xml:space="preserve"> </w:t>
      </w:r>
      <w:r w:rsidR="002C0006">
        <w:rPr>
          <w:rFonts w:ascii="Times New Roman" w:eastAsia="Times New Roman" w:hAnsi="Times New Roman"/>
          <w:sz w:val="24"/>
          <w:szCs w:val="24"/>
          <w:lang w:val="en-ID"/>
        </w:rPr>
        <w:fldChar w:fldCharType="begin" w:fldLock="1"/>
      </w:r>
      <w:r w:rsidR="002C0006">
        <w:rPr>
          <w:rFonts w:ascii="Times New Roman" w:eastAsia="Times New Roman" w:hAnsi="Times New Roman"/>
          <w:sz w:val="24"/>
          <w:szCs w:val="24"/>
          <w:lang w:val="en-ID"/>
        </w:rPr>
        <w:instrText>ADDIN CSL_CITATION {"citationItems":[{"id":"ITEM-1","itemData":{"DOI":"10.1186/s40468-024-00296-y","ISSN":"2229-0443","abstract":"Portfolio assessment is a method used by teachers to evaluate their students’ academic performance by giving them several assignments and/or projects to work on during the semester. This is one alternative to exams which are an assessment tool seldom questioned for its validity and efficacy. This study seeks to scrutinize both of the mentioned methods of assessment and determine which is more accurate and viable to be adopted in tertiary education. A cohort of sixty 20–22-year-old university students in the College of Engineering at the American University of Sharjah participated in this study. They were required to complete a questionnaire comprising 12 questions concerning the academic, mental health, and professional benefits that students can enjoy as a result of being tested by means of portfolio assessment instead of exams. The research question is as follows: Is portfolio assessment a generally more viable method of evaluating university students’ academic performance than exams in terms of the potential academic, mental health, and professional benefits which such an assessment affords students? Overall, portfolio assessment was found to be a much more appropriate method of assessing university students than exams. The results of the study have implications for university professors, education experts, and examiners.","author":[{"dropping-particle":"","family":"Zaabalawi","given":"Rafe S.","non-dropping-particle":"","parse-names":false,"suffix":""},{"dropping-particle":"","family":"Zaabalawi","given":"Jawad","non-dropping-particle":"","parse-names":false,"suffix":""}],"container-title":"Language Testing in Asia","id":"ITEM-1","issue":"1","issued":{"date-parts":[["2024","7","19"]]},"page":"28","title":"Portfolios versus exams: a study to gauge the better student assessment tool","type":"article-journal","volume":"14"},"uris":["http://www.mendeley.com/documents/?uuid=761e9035-b1a2-4812-8a48-36ee49bdf61f"]},{"id":"ITEM-2","itemData":{"DOI":"10.1016/j.evalprogplan.2024.102461","ISSN":"01497189","author":[{"dropping-particle":"","family":"Doğan","given":"Yunus","non-dropping-particle":"","parse-names":false,"suffix":""},{"dropping-particle":"","family":"Yıldırım","given":"Nazife Tuğba","non-dropping-particle":"","parse-names":false,"suffix":""},{"dropping-particle":"","family":"Batdı","given":"Veli","non-dropping-particle":"","parse-names":false,"suffix":""}],"container-title":"Evaluation and Program Planning","id":"ITEM-2","issued":{"date-parts":[["2024","10"]]},"page":"102461","title":"Effectiveness of portfolio assessment in primary education: A multi-complementary research approach","type":"article-journal","volume":"106"},"uris":["http://www.mendeley.com/documents/?uuid=929d1ffc-b41c-472d-bdbb-8dd1c52fdb00"]}],"mendeley":{"formattedCitation":"(Doğan et al., 2024; Zaabalawi &amp; Zaabalawi, 2024)","plainTextFormattedCitation":"(Doğan et al., 2024; Zaabalawi &amp; Zaabalawi, 2024)","previouslyFormattedCitation":"(Doğan et al., 2024; Zaabalawi &amp; Zaabalawi, 2024)"},"properties":{"noteIndex":0},"schema":"https://github.com/citation-style-language/schema/raw/master/csl-citation.json"}</w:instrText>
      </w:r>
      <w:r w:rsidR="002C0006">
        <w:rPr>
          <w:rFonts w:ascii="Times New Roman" w:eastAsia="Times New Roman" w:hAnsi="Times New Roman"/>
          <w:sz w:val="24"/>
          <w:szCs w:val="24"/>
          <w:lang w:val="en-ID"/>
        </w:rPr>
        <w:fldChar w:fldCharType="separate"/>
      </w:r>
      <w:r w:rsidR="002C0006" w:rsidRPr="002C0006">
        <w:rPr>
          <w:rFonts w:ascii="Times New Roman" w:eastAsia="Times New Roman" w:hAnsi="Times New Roman"/>
          <w:sz w:val="24"/>
          <w:szCs w:val="24"/>
          <w:lang w:val="en-ID"/>
        </w:rPr>
        <w:t>(Doğan et al., 2024; Zaabalawi &amp; Zaabalawi, 2024)</w:t>
      </w:r>
      <w:r w:rsidR="002C0006">
        <w:rPr>
          <w:rFonts w:ascii="Times New Roman" w:eastAsia="Times New Roman" w:hAnsi="Times New Roman"/>
          <w:sz w:val="24"/>
          <w:szCs w:val="24"/>
          <w:lang w:val="en-ID"/>
        </w:rPr>
        <w:fldChar w:fldCharType="end"/>
      </w:r>
      <w:r w:rsidRPr="00FB7B23">
        <w:rPr>
          <w:rFonts w:ascii="Times New Roman" w:eastAsia="Times New Roman" w:hAnsi="Times New Roman"/>
          <w:sz w:val="24"/>
          <w:szCs w:val="24"/>
          <w:lang w:val="en-ID"/>
        </w:rPr>
        <w:t xml:space="preserve">. This compilation function distinguishes portfolios from one-off tests by foregrounding process alongside product, allowing both teachers and students to trace how competence develops rather than merely confirming whether it has been reached. A meta-analytic synthesis by </w:t>
      </w:r>
      <w:r w:rsidR="00CE6B7C">
        <w:rPr>
          <w:rFonts w:ascii="Times New Roman" w:eastAsia="Times New Roman" w:hAnsi="Times New Roman"/>
          <w:sz w:val="24"/>
          <w:szCs w:val="24"/>
          <w:lang w:val="en-ID"/>
        </w:rPr>
        <w:fldChar w:fldCharType="begin" w:fldLock="1"/>
      </w:r>
      <w:r w:rsidR="00CE6B7C">
        <w:rPr>
          <w:rFonts w:ascii="Times New Roman" w:eastAsia="Times New Roman" w:hAnsi="Times New Roman"/>
          <w:sz w:val="24"/>
          <w:szCs w:val="24"/>
          <w:lang w:val="en-ID"/>
        </w:rPr>
        <w:instrText>ADDIN CSL_CITATION {"citationItems":[{"id":"ITEM-1","itemData":{"DOI":"10.1016/j.evalprogplan.2024.102461","ISSN":"01497189","author":[{"dropping-particle":"","family":"Doğan","given":"Yunus","non-dropping-particle":"","parse-names":false,"suffix":""},{"dropping-particle":"","family":"Yıldırım","given":"Nazife Tuğba","non-dropping-particle":"","parse-names":false,"suffix":""},{"dropping-particle":"","family":"Batdı","given":"Veli","non-dropping-particle":"","parse-names":false,"suffix":""}],"container-title":"Evaluation and Program Planning","id":"ITEM-1","issued":{"date-parts":[["2024","10"]]},"page":"102461","title":"Effectiveness of portfolio assessment in primary education: A multi-complementary research approach","type":"article-journal","volume":"106"},"uris":["http://www.mendeley.com/documents/?uuid=929d1ffc-b41c-472d-bdbb-8dd1c52fdb00"]}],"mendeley":{"formattedCitation":"(Doğan et al., 2024)","manualFormatting":"Doğan et al. (2024)","plainTextFormattedCitation":"(Doğan et al., 2024)","previouslyFormattedCitation":"(Doğan et al., 2024)"},"properties":{"noteIndex":0},"schema":"https://github.com/citation-style-language/schema/raw/master/csl-citation.json"}</w:instrText>
      </w:r>
      <w:r w:rsidR="00CE6B7C">
        <w:rPr>
          <w:rFonts w:ascii="Times New Roman" w:eastAsia="Times New Roman" w:hAnsi="Times New Roman"/>
          <w:sz w:val="24"/>
          <w:szCs w:val="24"/>
          <w:lang w:val="en-ID"/>
        </w:rPr>
        <w:fldChar w:fldCharType="separate"/>
      </w:r>
      <w:r w:rsidR="00CE6B7C" w:rsidRPr="00CE6B7C">
        <w:rPr>
          <w:rFonts w:ascii="Times New Roman" w:eastAsia="Times New Roman" w:hAnsi="Times New Roman"/>
          <w:sz w:val="24"/>
          <w:szCs w:val="24"/>
          <w:lang w:val="en-ID"/>
        </w:rPr>
        <w:t xml:space="preserve">Doğan et al. </w:t>
      </w:r>
      <w:r w:rsidR="00CE6B7C">
        <w:rPr>
          <w:rFonts w:ascii="Times New Roman" w:eastAsia="Times New Roman" w:hAnsi="Times New Roman"/>
          <w:sz w:val="24"/>
          <w:szCs w:val="24"/>
          <w:lang w:val="en-ID"/>
        </w:rPr>
        <w:t>(</w:t>
      </w:r>
      <w:r w:rsidR="00CE6B7C" w:rsidRPr="00CE6B7C">
        <w:rPr>
          <w:rFonts w:ascii="Times New Roman" w:eastAsia="Times New Roman" w:hAnsi="Times New Roman"/>
          <w:sz w:val="24"/>
          <w:szCs w:val="24"/>
          <w:lang w:val="en-ID"/>
        </w:rPr>
        <w:t>2024)</w:t>
      </w:r>
      <w:r w:rsidR="00CE6B7C">
        <w:rPr>
          <w:rFonts w:ascii="Times New Roman" w:eastAsia="Times New Roman" w:hAnsi="Times New Roman"/>
          <w:sz w:val="24"/>
          <w:szCs w:val="24"/>
          <w:lang w:val="en-ID"/>
        </w:rPr>
        <w:fldChar w:fldCharType="end"/>
      </w:r>
      <w:r w:rsidR="00CE6B7C">
        <w:rPr>
          <w:rFonts w:ascii="Times New Roman" w:eastAsia="Times New Roman" w:hAnsi="Times New Roman"/>
          <w:sz w:val="24"/>
          <w:szCs w:val="24"/>
          <w:lang w:val="en-ID"/>
        </w:rPr>
        <w:t xml:space="preserve"> </w:t>
      </w:r>
      <w:r w:rsidRPr="00FB7B23">
        <w:rPr>
          <w:rFonts w:ascii="Times New Roman" w:eastAsia="Times New Roman" w:hAnsi="Times New Roman"/>
          <w:sz w:val="24"/>
          <w:szCs w:val="24"/>
          <w:lang w:val="en-ID"/>
        </w:rPr>
        <w:t>further establishes that portfolio assessment produces a moderately positive effect on academic achievement across primary education contexts, while also strengthening learners' capacity for reflection, a finding that lends empirical weight to claims about the pedagogical value of the format rather than leaving them as conceptual assertions alone.</w:t>
      </w:r>
    </w:p>
    <w:p w14:paraId="1F8D1892" w14:textId="37C6A171" w:rsidR="00FB7B23" w:rsidRPr="00FB7B23" w:rsidRDefault="00FB7B23" w:rsidP="00FB7B23">
      <w:pPr>
        <w:spacing w:line="276" w:lineRule="auto"/>
        <w:ind w:firstLine="567"/>
        <w:jc w:val="both"/>
        <w:rPr>
          <w:rFonts w:ascii="Times New Roman" w:eastAsia="Times New Roman" w:hAnsi="Times New Roman"/>
          <w:sz w:val="24"/>
          <w:szCs w:val="24"/>
          <w:lang w:val="en-ID"/>
        </w:rPr>
      </w:pPr>
      <w:r w:rsidRPr="00FB7B23">
        <w:rPr>
          <w:rFonts w:ascii="Times New Roman" w:eastAsia="Times New Roman" w:hAnsi="Times New Roman"/>
          <w:sz w:val="24"/>
          <w:szCs w:val="24"/>
          <w:lang w:val="en-ID"/>
        </w:rPr>
        <w:t xml:space="preserve">The migration of this format from paper to digital infrastructure represents an evolution in delivery rather than a change in underlying philosophy. Digital portfolios, or e-portfolios, retain the same purposeful and reflective core while extending it through digital platforms capable of storing and organizing multimedia artifacts, including text, image, audio, and video </w:t>
      </w:r>
      <w:r w:rsidR="00CE6B7C">
        <w:rPr>
          <w:rFonts w:ascii="Times New Roman" w:eastAsia="Times New Roman" w:hAnsi="Times New Roman"/>
          <w:sz w:val="24"/>
          <w:szCs w:val="24"/>
          <w:lang w:val="en-ID"/>
        </w:rPr>
        <w:fldChar w:fldCharType="begin" w:fldLock="1"/>
      </w:r>
      <w:r w:rsidR="00CE6B7C">
        <w:rPr>
          <w:rFonts w:ascii="Times New Roman" w:eastAsia="Times New Roman" w:hAnsi="Times New Roman"/>
          <w:sz w:val="24"/>
          <w:szCs w:val="24"/>
          <w:lang w:val="en-ID"/>
        </w:rPr>
        <w:instrText>ADDIN CSL_CITATION {"citationItems":[{"id":"ITEM-1","itemData":{"DOI":"10.67434/ijast.v6i1.1964","ISSN":"2721-3331","abstract":"The development of digital learning demands the implementation of assessments that can authentically and contextually measure students' competencies, particularly in science education. This research aims to examine the types of authentic assessment, the digital platforms used, and the obstacles and challenges of its implementation in digital science learning. The method used is a systematic literature review of scientific articles published between 2015 and 2024 that are relevant to the topic of authentic assessment and digital learning. The study results indicate that authentic assessment in digital science learning is dominated by project-based assessment, performance assessment, and digital portfolios supported by a learning management system, virtual laboratories, and e-portfolios. Although authentic assessment has proven capable of increasing student engagement and higher-order thinking skills, its implementation still faces pedagogical, technological, and institutional challenges. These findings confirm the need to strengthen teacher competencies, infrastructure support, and assessment policies that are adaptable to digital learning.","author":[{"dropping-particle":"","family":"Zainuri","given":"Baiq Nabila Saufika","non-dropping-particle":"","parse-names":false,"suffix":""},{"dropping-particle":"","family":"Gunawan","given":"Gunawan","non-dropping-particle":"","parse-names":false,"suffix":""},{"dropping-particle":"","family":"Qothrunnada","given":"Qothrunnada","non-dropping-particle":"","parse-names":false,"suffix":""}],"container-title":"Indonesian Journal of Applied Science and Technology","id":"ITEM-1","issue":"1","issued":{"date-parts":[["2025","6","30"]]},"page":"1-12","title":"Authentic Assessment Practices In Digital Science Classrooms: A Review of Strategies and Barriers","type":"article-journal","volume":"6"},"uris":["http://www.mendeley.com/documents/?uuid=37f3ab82-87a4-4ccb-b8eb-7ac9e1063a56"]},{"id":"ITEM-2","itemData":{"DOI":"10.51878/edutech.v5i4.7867","ISSN":"2797-0140","abstract":"This study discusses the implementation of digital e-portfolios as an authentic assessment instrument in higher education, highlighting the transformation from conventional assessment toward a more comprehensive and continuous evaluation approach. The focus of the research is to identify the most effective digital e-portfolio models for documenting and reflecting students’ competencies, as well as their impact on learning outcomes and professional skill development. The method used is a systematic literature review and bibliometric analysis of 65 articles published between 2020 and 2025, employing a qualitative approach and thematic mapping software. The findings indicate that digital e-portfolios play a crucial role in promoting reflective learning, enhancing metacognitive abilities, and strengthening students’ professional identity. In addition, several technical and pedagogical challenges were identified that need to be addressed to enable more effective adoption of e-portfolios. Overall, the study concludes that digital e-portfolios are not merely documentation tools but function as learning ecosystems that support authentic assessment and continuous competency development in higher education. The study also provides recommendations for technology development and policy initiatives to support the integration of e-portfolios into competency-based learning systems. ABSTRAKPenelitian ini membahas implementasi e-portofolio digital sebagai instrumen penilaian autentik di perguruan tinggi yang mengalami transformasi dari penilaian konvensional menuju penilaian yang lebih komprehensif dan berkelanjutan. Fokus penelitian adalah identifikasi model e-portofolio digital yang paling efektif dalam mendokumentasikan dan merefleksikan kompetensi mahasiswa serta dampaknya terhadap hasil belajar dan pengembangan keterampilan profesional. Metode yang digunakan berupa systematic literature review dan analisis bibliometrik terhadap 65 artikel yang dipublikasikan antara tahun 2020 hingga 2025, dengan pendekatan kualitatif dan penggunaan software pemetaan tema. Hasil penelitian menunjukkan bahwa e-portofolio digital berperan penting dalam mendorong pembelajaran reflektif, meningkatkan kemampuan metakognitif, serta memperkuat identitas profesional mahasiswa. Selain itu, ditemukan pula berbagai tantangan teknis dan pedagogis yang perlu diatasi untuk memperluas adopsi e-portofolio secara efektif. Hasil utama penelitian ini menunjukkan bahwa, e-portofolio digital bukan hanya…","author":[{"dropping-particle":"","family":"Ali","given":"Aniiqi Karima","non-dropping-particle":"","parse-names":false,"suffix":""}],"container-title":"EDUTECH : Jurnal Inovasi Pendidikan Berbantuan Teknologi","id":"ITEM-2","issue":"4","issued":{"date-parts":[["2025","11","30"]]},"page":"759-769","title":"IMPLEMENTASI E-PORTOFOLIO DIGITAL SEBAGAI INSTRUMEN PENILAIAN AUTENTIK DI PERGURUAN TINGGI: SYSTEMATIC LITERATURE REVIEW","type":"article-journal","volume":"5"},"uris":["http://www.mendeley.com/documents/?uuid=5de97f97-2139-4075-8a0c-70c35e6dbe84"]}],"mendeley":{"formattedCitation":"(Ali, 2025; Zainuri et al., 2025)","plainTextFormattedCitation":"(Ali, 2025; Zainuri et al., 2025)","previouslyFormattedCitation":"(Ali, 2025; Zainuri et al., 2025)"},"properties":{"noteIndex":0},"schema":"https://github.com/citation-style-language/schema/raw/master/csl-citation.json"}</w:instrText>
      </w:r>
      <w:r w:rsidR="00CE6B7C">
        <w:rPr>
          <w:rFonts w:ascii="Times New Roman" w:eastAsia="Times New Roman" w:hAnsi="Times New Roman"/>
          <w:sz w:val="24"/>
          <w:szCs w:val="24"/>
          <w:lang w:val="en-ID"/>
        </w:rPr>
        <w:fldChar w:fldCharType="separate"/>
      </w:r>
      <w:r w:rsidR="00CE6B7C" w:rsidRPr="00CE6B7C">
        <w:rPr>
          <w:rFonts w:ascii="Times New Roman" w:eastAsia="Times New Roman" w:hAnsi="Times New Roman"/>
          <w:sz w:val="24"/>
          <w:szCs w:val="24"/>
          <w:lang w:val="en-ID"/>
        </w:rPr>
        <w:t>(Ali, 2025; Zainuri et al., 2025)</w:t>
      </w:r>
      <w:r w:rsidR="00CE6B7C">
        <w:rPr>
          <w:rFonts w:ascii="Times New Roman" w:eastAsia="Times New Roman" w:hAnsi="Times New Roman"/>
          <w:sz w:val="24"/>
          <w:szCs w:val="24"/>
          <w:lang w:val="en-ID"/>
        </w:rPr>
        <w:fldChar w:fldCharType="end"/>
      </w:r>
      <w:r w:rsidRPr="00FB7B23">
        <w:rPr>
          <w:rFonts w:ascii="Times New Roman" w:eastAsia="Times New Roman" w:hAnsi="Times New Roman"/>
          <w:sz w:val="24"/>
          <w:szCs w:val="24"/>
          <w:lang w:val="en-ID"/>
        </w:rPr>
        <w:t xml:space="preserve">. It is worth noting that </w:t>
      </w:r>
      <w:r w:rsidR="00CE6B7C">
        <w:rPr>
          <w:rFonts w:ascii="Times New Roman" w:eastAsia="Times New Roman" w:hAnsi="Times New Roman"/>
          <w:sz w:val="24"/>
          <w:szCs w:val="24"/>
          <w:lang w:val="en-ID"/>
        </w:rPr>
        <w:fldChar w:fldCharType="begin" w:fldLock="1"/>
      </w:r>
      <w:r w:rsidR="00CE6B7C">
        <w:rPr>
          <w:rFonts w:ascii="Times New Roman" w:eastAsia="Times New Roman" w:hAnsi="Times New Roman"/>
          <w:sz w:val="24"/>
          <w:szCs w:val="24"/>
          <w:lang w:val="en-ID"/>
        </w:rPr>
        <w:instrText>ADDIN CSL_CITATION {"citationItems":[{"id":"ITEM-1","itemData":{"DOI":"10.67434/ijast.v6i1.1964","ISSN":"2721-3331","abstract":"The development of digital learning demands the implementation of assessments that can authentically and contextually measure students' competencies, particularly in science education. This research aims to examine the types of authentic assessment, the digital platforms used, and the obstacles and challenges of its implementation in digital science learning. The method used is a systematic literature review of scientific articles published between 2015 and 2024 that are relevant to the topic of authentic assessment and digital learning. The study results indicate that authentic assessment in digital science learning is dominated by project-based assessment, performance assessment, and digital portfolios supported by a learning management system, virtual laboratories, and e-portfolios. Although authentic assessment has proven capable of increasing student engagement and higher-order thinking skills, its implementation still faces pedagogical, technological, and institutional challenges. These findings confirm the need to strengthen teacher competencies, infrastructure support, and assessment policies that are adaptable to digital learning.","author":[{"dropping-particle":"","family":"Zainuri","given":"Baiq Nabila Saufika","non-dropping-particle":"","parse-names":false,"suffix":""},{"dropping-particle":"","family":"Gunawan","given":"Gunawan","non-dropping-particle":"","parse-names":false,"suffix":""},{"dropping-particle":"","family":"Qothrunnada","given":"Qothrunnada","non-dropping-particle":"","parse-names":false,"suffix":""}],"container-title":"Indonesian Journal of Applied Science and Technology","id":"ITEM-1","issue":"1","issued":{"date-parts":[["2025","6","30"]]},"page":"1-12","title":"Authentic Assessment Practices In Digital Science Classrooms: A Review of Strategies and Barriers","type":"article-journal","volume":"6"},"uris":["http://www.mendeley.com/documents/?uuid=37f3ab82-87a4-4ccb-b8eb-7ac9e1063a56"]},{"id":"ITEM-2","itemData":{"DOI":"10.51878/edutech.v5i4.7867","ISSN":"2797-0140","abstract":"This study discusses the implementation of digital e-portfolios as an authentic assessment instrument in higher education, highlighting the transformation from conventional assessment toward a more comprehensive and continuous evaluation approach. The focus of the research is to identify the most effective digital e-portfolio models for documenting and reflecting students’ competencies, as well as their impact on learning outcomes and professional skill development. The method used is a systematic literature review and bibliometric analysis of 65 articles published between 2020 and 2025, employing a qualitative approach and thematic mapping software. The findings indicate that digital e-portfolios play a crucial role in promoting reflective learning, enhancing metacognitive abilities, and strengthening students’ professional identity. In addition, several technical and pedagogical challenges were identified that need to be addressed to enable more effective adoption of e-portfolios. Overall, the study concludes that digital e-portfolios are not merely documentation tools but function as learning ecosystems that support authentic assessment and continuous competency development in higher education. The study also provides recommendations for technology development and policy initiatives to support the integration of e-portfolios into competency-based learning systems. ABSTRAKPenelitian ini membahas implementasi e-portofolio digital sebagai instrumen penilaian autentik di perguruan tinggi yang mengalami transformasi dari penilaian konvensional menuju penilaian yang lebih komprehensif dan berkelanjutan. Fokus penelitian adalah identifikasi model e-portofolio digital yang paling efektif dalam mendokumentasikan dan merefleksikan kompetensi mahasiswa serta dampaknya terhadap hasil belajar dan pengembangan keterampilan profesional. Metode yang digunakan berupa systematic literature review dan analisis bibliometrik terhadap 65 artikel yang dipublikasikan antara tahun 2020 hingga 2025, dengan pendekatan kualitatif dan penggunaan software pemetaan tema. Hasil penelitian menunjukkan bahwa e-portofolio digital berperan penting dalam mendorong pembelajaran reflektif, meningkatkan kemampuan metakognitif, serta memperkuat identitas profesional mahasiswa. Selain itu, ditemukan pula berbagai tantangan teknis dan pedagogis yang perlu diatasi untuk memperluas adopsi e-portofolio secara efektif. Hasil utama penelitian ini menunjukkan bahwa, e-portofolio digital bukan hanya…","author":[{"dropping-particle":"","family":"Ali","given":"Aniiqi Karima","non-dropping-particle":"","parse-names":false,"suffix":""}],"container-title":"EDUTECH : Jurnal Inovasi Pendidikan Berbantuan Teknologi","id":"ITEM-2","issue":"4","issued":{"date-parts":[["2025","11","30"]]},"page":"759-769","title":"IMPLEMENTASI E-PORTOFOLIO DIGITAL SEBAGAI INSTRUMEN PENILAIAN AUTENTIK DI PERGURUAN TINGGI: SYSTEMATIC LITERATURE REVIEW","type":"article-journal","volume":"5"},"uris":["http://www.mendeley.com/documents/?uuid=5de97f97-2139-4075-8a0c-70c35e6dbe84"]}],"mendeley":{"formattedCitation":"(Ali, 2025; Zainuri et al., 2025)","manualFormatting":"Ali (2025) and Zainuri et al. (2025)","plainTextFormattedCitation":"(Ali, 2025; Zainuri et al., 2025)","previouslyFormattedCitation":"(Ali, 2025; Zainuri et al., 2025)"},"properties":{"noteIndex":0},"schema":"https://github.com/citation-style-language/schema/raw/master/csl-citation.json"}</w:instrText>
      </w:r>
      <w:r w:rsidR="00CE6B7C">
        <w:rPr>
          <w:rFonts w:ascii="Times New Roman" w:eastAsia="Times New Roman" w:hAnsi="Times New Roman"/>
          <w:sz w:val="24"/>
          <w:szCs w:val="24"/>
          <w:lang w:val="en-ID"/>
        </w:rPr>
        <w:fldChar w:fldCharType="separate"/>
      </w:r>
      <w:r w:rsidR="00CE6B7C" w:rsidRPr="00CE6B7C">
        <w:rPr>
          <w:rFonts w:ascii="Times New Roman" w:eastAsia="Times New Roman" w:hAnsi="Times New Roman"/>
          <w:sz w:val="24"/>
          <w:szCs w:val="24"/>
          <w:lang w:val="en-ID"/>
        </w:rPr>
        <w:t xml:space="preserve">Ali </w:t>
      </w:r>
      <w:r w:rsidR="00CE6B7C">
        <w:rPr>
          <w:rFonts w:ascii="Times New Roman" w:eastAsia="Times New Roman" w:hAnsi="Times New Roman"/>
          <w:sz w:val="24"/>
          <w:szCs w:val="24"/>
          <w:lang w:val="en-ID"/>
        </w:rPr>
        <w:t>(</w:t>
      </w:r>
      <w:r w:rsidR="00CE6B7C" w:rsidRPr="00CE6B7C">
        <w:rPr>
          <w:rFonts w:ascii="Times New Roman" w:eastAsia="Times New Roman" w:hAnsi="Times New Roman"/>
          <w:sz w:val="24"/>
          <w:szCs w:val="24"/>
          <w:lang w:val="en-ID"/>
        </w:rPr>
        <w:t>2025</w:t>
      </w:r>
      <w:r w:rsidR="00CE6B7C">
        <w:rPr>
          <w:rFonts w:ascii="Times New Roman" w:eastAsia="Times New Roman" w:hAnsi="Times New Roman"/>
          <w:sz w:val="24"/>
          <w:szCs w:val="24"/>
          <w:lang w:val="en-ID"/>
        </w:rPr>
        <w:t>) and</w:t>
      </w:r>
      <w:r w:rsidR="00CE6B7C" w:rsidRPr="00CE6B7C">
        <w:rPr>
          <w:rFonts w:ascii="Times New Roman" w:eastAsia="Times New Roman" w:hAnsi="Times New Roman"/>
          <w:sz w:val="24"/>
          <w:szCs w:val="24"/>
          <w:lang w:val="en-ID"/>
        </w:rPr>
        <w:t xml:space="preserve"> Zainuri et al. </w:t>
      </w:r>
      <w:r w:rsidR="00CE6B7C">
        <w:rPr>
          <w:rFonts w:ascii="Times New Roman" w:eastAsia="Times New Roman" w:hAnsi="Times New Roman"/>
          <w:sz w:val="24"/>
          <w:szCs w:val="24"/>
          <w:lang w:val="en-ID"/>
        </w:rPr>
        <w:t>(</w:t>
      </w:r>
      <w:r w:rsidR="00CE6B7C" w:rsidRPr="00CE6B7C">
        <w:rPr>
          <w:rFonts w:ascii="Times New Roman" w:eastAsia="Times New Roman" w:hAnsi="Times New Roman"/>
          <w:sz w:val="24"/>
          <w:szCs w:val="24"/>
          <w:lang w:val="en-ID"/>
        </w:rPr>
        <w:t>2025)</w:t>
      </w:r>
      <w:r w:rsidR="00CE6B7C">
        <w:rPr>
          <w:rFonts w:ascii="Times New Roman" w:eastAsia="Times New Roman" w:hAnsi="Times New Roman"/>
          <w:sz w:val="24"/>
          <w:szCs w:val="24"/>
          <w:lang w:val="en-ID"/>
        </w:rPr>
        <w:fldChar w:fldCharType="end"/>
      </w:r>
      <w:r w:rsidR="00CE6B7C">
        <w:rPr>
          <w:rFonts w:ascii="Times New Roman" w:eastAsia="Times New Roman" w:hAnsi="Times New Roman"/>
          <w:sz w:val="24"/>
          <w:szCs w:val="24"/>
          <w:lang w:val="en-ID"/>
        </w:rPr>
        <w:t xml:space="preserve"> </w:t>
      </w:r>
      <w:r w:rsidRPr="00FB7B23">
        <w:rPr>
          <w:rFonts w:ascii="Times New Roman" w:eastAsia="Times New Roman" w:hAnsi="Times New Roman"/>
          <w:sz w:val="24"/>
          <w:szCs w:val="24"/>
          <w:lang w:val="en-ID"/>
        </w:rPr>
        <w:t xml:space="preserve">findings originate from a science-learning context rather than from language or writing instruction specifically; the transferability of the principle, namely that digital documentation strengthens evidence of authentic literacy development, is treated here as a cross-disciplinary inference rather than as writing-specific evidence. </w:t>
      </w:r>
      <w:r w:rsidR="00CE6B7C">
        <w:rPr>
          <w:rFonts w:ascii="Times New Roman" w:eastAsia="Times New Roman" w:hAnsi="Times New Roman"/>
          <w:sz w:val="24"/>
          <w:szCs w:val="24"/>
          <w:lang w:val="en-ID"/>
        </w:rPr>
        <w:fldChar w:fldCharType="begin" w:fldLock="1"/>
      </w:r>
      <w:r w:rsidR="00CE6B7C">
        <w:rPr>
          <w:rFonts w:ascii="Times New Roman" w:eastAsia="Times New Roman" w:hAnsi="Times New Roman"/>
          <w:sz w:val="24"/>
          <w:szCs w:val="24"/>
          <w:lang w:val="en-ID"/>
        </w:rPr>
        <w:instrText>ADDIN CSL_CITATION {"citationItems":[{"id":"ITEM-1","itemData":{"ISSN":"2829-3681","abstract":"Dalam suatu pembelajan selalu dibutuhkan lembar kerja peserta didik digunakan sebagai pengukuran tingkat pemahaman dan ketuntasan belajar peserta didik.&amp;nbsp; Portofolio merupakan salah satu bentuk LKPD. Secara umum, portofolio merupakan kumpulan dokumen berupa objek penilaian yang dipakai oleh seseorang, kelompok, lembaga, organisasi atau perusahaan yang bertujuan untuk mendokumentasikan dan menilai perkembangan suatu proses, Adapun tujuan dari penelitian pengembangan ini adalah untuk :1) Mendeskripsikan prosedural dan konseptual dari pengembangan portofolio digital&amp;nbsp; siswa kelas V SDN Bulukerto 01 Kota Batu melalui media canva dan youtube Tahun 2022/ 2023. 2). Mengetahui validitas dari produk pengembangan portofolio digital&amp;nbsp; untuk meningkatkan prestasi peserta didik.. 3). Menganalisis hasil uji coba produk pengembangan portofolio digital untuk meningkatkan prestasi peserta didik. 4). Mengetahui efektifitas pengembangan portofolio digital untuk meningkatkan prestasi kelas V SDN Bulukerto 01 Kota Batu Tahun 2022/ 2023. Penelitian pengembangan ini telah dilakukan berdasarkan pada aspek teoritis dan empiris merupakan model penelitian dan pengembangan ADDIE (Analyze – Design – Develop – Implement - Evaluate) berdasar teorinya Branch (2009). Produk pengembangan pada penelitian ini terdiri dari: Portofolio digital,RPP, Bahan ajar Pendapatan Nasional, lembar kegiatan penilaian diri siswa, dan evaluasi&amp;nbsp; Produk pengembangan tersebut telah melalui proses validasi oleh ahli penelitian pengembangan dan ahli bidang media. Validasi ini dijadikan acuan untuk memperbaiki dan merevisi produk pengembangan dalam penelitian ini. Produk yang dikembangkan dalam penelitian ini telah mengalami revisi, selanjutnya diuji cobakan melalui ujicoba perorangan, uji coba kelompok kecil dan uji coba, dan kelompok besar. Berdasarkan hasil uji coba produk, model pengembangan portofolio digital siswa kelas V SDN Bulukerto 01 melalui media youtube dan canva Tahun pelajaran 2022/2023 dianggap baik dan tepat untuk diaplikasikan dengan skor efektivitas 83,03.","author":[{"dropping-particle":"","family":"Adrianik","given":"Ika Catur","non-dropping-particle":"","parse-names":false,"suffix":""}],"container-title":"Jurnal Pendidikan Taman Widya Humaniora","id":"ITEM-1","issue":"4","issued":{"date-parts":[["2023","7","8"]]},"page":"1970-1994","title":"PENGEMBANGAN PORTOFOLIO DIGITAL MELALUI MEDIA CANVA DAN YOUTUBE PADA PEMBELAJARAN SISWA KELAS V  SDN BULUKERTO 01 BATU TAHUN PELAJARAN 2022/2023","type":"article-journal","volume":"2"},"uris":["http://www.mendeley.com/documents/?uuid=b801f3d7-87c0-327a-8de1-aceb072f28a7"]}],"mendeley":{"formattedCitation":"(Adrianik, 2023)","manualFormatting":"Adrianik (2023)","plainTextFormattedCitation":"(Adrianik, 2023)","previouslyFormattedCitation":"(Adrianik, 2023)"},"properties":{"noteIndex":0},"schema":"https://github.com/citation-style-language/schema/raw/master/csl-citation.json"}</w:instrText>
      </w:r>
      <w:r w:rsidR="00CE6B7C">
        <w:rPr>
          <w:rFonts w:ascii="Times New Roman" w:eastAsia="Times New Roman" w:hAnsi="Times New Roman"/>
          <w:sz w:val="24"/>
          <w:szCs w:val="24"/>
          <w:lang w:val="en-ID"/>
        </w:rPr>
        <w:fldChar w:fldCharType="separate"/>
      </w:r>
      <w:r w:rsidR="00CE6B7C" w:rsidRPr="00CE6B7C">
        <w:rPr>
          <w:rFonts w:ascii="Times New Roman" w:eastAsia="Times New Roman" w:hAnsi="Times New Roman"/>
          <w:sz w:val="24"/>
          <w:szCs w:val="24"/>
          <w:lang w:val="en-ID"/>
        </w:rPr>
        <w:t xml:space="preserve">Adrianik </w:t>
      </w:r>
      <w:r w:rsidR="00CE6B7C">
        <w:rPr>
          <w:rFonts w:ascii="Times New Roman" w:eastAsia="Times New Roman" w:hAnsi="Times New Roman"/>
          <w:sz w:val="24"/>
          <w:szCs w:val="24"/>
          <w:lang w:val="en-ID"/>
        </w:rPr>
        <w:t>(</w:t>
      </w:r>
      <w:r w:rsidR="00CE6B7C" w:rsidRPr="00CE6B7C">
        <w:rPr>
          <w:rFonts w:ascii="Times New Roman" w:eastAsia="Times New Roman" w:hAnsi="Times New Roman"/>
          <w:sz w:val="24"/>
          <w:szCs w:val="24"/>
          <w:lang w:val="en-ID"/>
        </w:rPr>
        <w:t>2023)</w:t>
      </w:r>
      <w:r w:rsidR="00CE6B7C">
        <w:rPr>
          <w:rFonts w:ascii="Times New Roman" w:eastAsia="Times New Roman" w:hAnsi="Times New Roman"/>
          <w:sz w:val="24"/>
          <w:szCs w:val="24"/>
          <w:lang w:val="en-ID"/>
        </w:rPr>
        <w:fldChar w:fldCharType="end"/>
      </w:r>
      <w:r w:rsidRPr="00FB7B23">
        <w:rPr>
          <w:rFonts w:ascii="Times New Roman" w:eastAsia="Times New Roman" w:hAnsi="Times New Roman"/>
          <w:sz w:val="24"/>
          <w:szCs w:val="24"/>
          <w:lang w:val="en-ID"/>
        </w:rPr>
        <w:t xml:space="preserve"> offers a more directly comparable case, demonstrating that a digital portfolio built through Canva and YouTube media achieved a high effectiveness rating among elementary school learners, indicating that the digital format can tangibly improve documentation quality and learner engagement even at an early educational level. Because this finding originates from a single elementary-level case, it is treated in the present review as suggestive of the digital format's potential rather than as conclusive evidence for secondary-level writing instruction, a distinction elaborated further in the Results and Discussion section.</w:t>
      </w:r>
    </w:p>
    <w:p w14:paraId="02F45AAE" w14:textId="77777777" w:rsidR="00FB7B23" w:rsidRPr="00FB7B23" w:rsidRDefault="00FB7B23" w:rsidP="00FB7B23">
      <w:pPr>
        <w:spacing w:before="240" w:line="276" w:lineRule="auto"/>
        <w:jc w:val="both"/>
        <w:rPr>
          <w:rFonts w:ascii="Times New Roman" w:eastAsia="Times New Roman" w:hAnsi="Times New Roman"/>
          <w:sz w:val="24"/>
          <w:szCs w:val="24"/>
          <w:lang w:val="en-ID"/>
        </w:rPr>
      </w:pPr>
      <w:r w:rsidRPr="00FB7B23">
        <w:rPr>
          <w:rFonts w:ascii="Times New Roman" w:eastAsia="Times New Roman" w:hAnsi="Times New Roman"/>
          <w:b/>
          <w:bCs/>
          <w:sz w:val="24"/>
          <w:szCs w:val="24"/>
          <w:lang w:val="en-ID"/>
        </w:rPr>
        <w:t>Authentic Assessment as the Conceptual Bridge to Portfolio Practice</w:t>
      </w:r>
    </w:p>
    <w:p w14:paraId="73477D2E" w14:textId="3E7E5BEA" w:rsidR="00FB7B23" w:rsidRPr="00FB7B23" w:rsidRDefault="00FB7B23" w:rsidP="00FB7B23">
      <w:pPr>
        <w:spacing w:line="276" w:lineRule="auto"/>
        <w:ind w:firstLine="567"/>
        <w:jc w:val="both"/>
        <w:rPr>
          <w:rFonts w:ascii="Times New Roman" w:eastAsia="Times New Roman" w:hAnsi="Times New Roman"/>
          <w:sz w:val="24"/>
          <w:szCs w:val="24"/>
          <w:lang w:val="en-ID"/>
        </w:rPr>
      </w:pPr>
      <w:r w:rsidRPr="00FB7B23">
        <w:rPr>
          <w:rFonts w:ascii="Times New Roman" w:eastAsia="Times New Roman" w:hAnsi="Times New Roman"/>
          <w:sz w:val="24"/>
          <w:szCs w:val="24"/>
          <w:lang w:val="en-ID"/>
        </w:rPr>
        <w:t xml:space="preserve">Authentic assessment is most productively defined not by a fixed checklist of features but by its underlying aim, namely to evaluate competencies through tasks that carry genuine meaning and consequence beyond the test itself, rather than </w:t>
      </w:r>
      <w:r w:rsidRPr="00FB7B23">
        <w:rPr>
          <w:rFonts w:ascii="Times New Roman" w:eastAsia="Times New Roman" w:hAnsi="Times New Roman"/>
          <w:sz w:val="24"/>
          <w:szCs w:val="24"/>
          <w:lang w:val="en-ID"/>
        </w:rPr>
        <w:lastRenderedPageBreak/>
        <w:t>through standardized and uniform measurement alone</w:t>
      </w:r>
      <w:r w:rsidR="002C0006">
        <w:rPr>
          <w:rFonts w:ascii="Times New Roman" w:eastAsia="Times New Roman" w:hAnsi="Times New Roman"/>
          <w:sz w:val="24"/>
          <w:szCs w:val="24"/>
          <w:lang w:val="en-ID"/>
        </w:rPr>
        <w:t xml:space="preserve"> </w:t>
      </w:r>
      <w:r w:rsidR="002C0006">
        <w:rPr>
          <w:rFonts w:ascii="Times New Roman" w:eastAsia="Times New Roman" w:hAnsi="Times New Roman"/>
          <w:sz w:val="24"/>
          <w:szCs w:val="24"/>
          <w:lang w:val="en-ID"/>
        </w:rPr>
        <w:fldChar w:fldCharType="begin" w:fldLock="1"/>
      </w:r>
      <w:r w:rsidR="002C0006">
        <w:rPr>
          <w:rFonts w:ascii="Times New Roman" w:eastAsia="Times New Roman" w:hAnsi="Times New Roman"/>
          <w:sz w:val="24"/>
          <w:szCs w:val="24"/>
          <w:lang w:val="en-ID"/>
        </w:rPr>
        <w:instrText>ADDIN CSL_CITATION {"citationItems":[{"id":"ITEM-1","itemData":{"DOI":"10.1016/j.stueduc.2024.101425","ISSN":"0191491X","author":[{"dropping-particle":"","family":"Vlachopoulos","given":"Dimitrios","non-dropping-particle":"","parse-names":false,"suffix":""},{"dropping-particle":"","family":"Makri","given":"Agoritsa","non-dropping-particle":"","parse-names":false,"suffix":""}],"container-title":"Studies in Educational Evaluation","id":"ITEM-1","issued":{"date-parts":[["2024","12"]]},"page":"101425","title":"A systematic literature review on authentic assessment in higher education: Best practices for the development of 21st century skills, and policy considerations","type":"article-journal","volume":"83"},"uris":["http://www.mendeley.com/documents/?uuid=af993962-aef6-46f5-a340-95ea5588cb56"]}],"mendeley":{"formattedCitation":"(Vlachopoulos &amp; Makri, 2024)","plainTextFormattedCitation":"(Vlachopoulos &amp; Makri, 2024)","previouslyFormattedCitation":"(Vlachopoulos &amp; Makri, 2024)"},"properties":{"noteIndex":0},"schema":"https://github.com/citation-style-language/schema/raw/master/csl-citation.json"}</w:instrText>
      </w:r>
      <w:r w:rsidR="002C0006">
        <w:rPr>
          <w:rFonts w:ascii="Times New Roman" w:eastAsia="Times New Roman" w:hAnsi="Times New Roman"/>
          <w:sz w:val="24"/>
          <w:szCs w:val="24"/>
          <w:lang w:val="en-ID"/>
        </w:rPr>
        <w:fldChar w:fldCharType="separate"/>
      </w:r>
      <w:r w:rsidR="002C0006" w:rsidRPr="002C0006">
        <w:rPr>
          <w:rFonts w:ascii="Times New Roman" w:eastAsia="Times New Roman" w:hAnsi="Times New Roman"/>
          <w:sz w:val="24"/>
          <w:szCs w:val="24"/>
          <w:lang w:val="en-ID"/>
        </w:rPr>
        <w:t>(Vlachopoulos &amp; Makri, 2024)</w:t>
      </w:r>
      <w:r w:rsidR="002C0006">
        <w:rPr>
          <w:rFonts w:ascii="Times New Roman" w:eastAsia="Times New Roman" w:hAnsi="Times New Roman"/>
          <w:sz w:val="24"/>
          <w:szCs w:val="24"/>
          <w:lang w:val="en-ID"/>
        </w:rPr>
        <w:fldChar w:fldCharType="end"/>
      </w:r>
      <w:r w:rsidRPr="00FB7B23">
        <w:rPr>
          <w:rFonts w:ascii="Times New Roman" w:eastAsia="Times New Roman" w:hAnsi="Times New Roman"/>
          <w:sz w:val="24"/>
          <w:szCs w:val="24"/>
          <w:lang w:val="en-ID"/>
        </w:rPr>
        <w:t xml:space="preserve">. </w:t>
      </w:r>
      <w:r w:rsidR="00CE6B7C">
        <w:rPr>
          <w:rFonts w:ascii="Times New Roman" w:eastAsia="Times New Roman" w:hAnsi="Times New Roman"/>
          <w:sz w:val="24"/>
          <w:szCs w:val="24"/>
          <w:lang w:val="en-ID"/>
        </w:rPr>
        <w:fldChar w:fldCharType="begin" w:fldLock="1"/>
      </w:r>
      <w:r w:rsidR="00CE6B7C">
        <w:rPr>
          <w:rFonts w:ascii="Times New Roman" w:eastAsia="Times New Roman" w:hAnsi="Times New Roman"/>
          <w:sz w:val="24"/>
          <w:szCs w:val="24"/>
          <w:lang w:val="en-ID"/>
        </w:rPr>
        <w:instrText>ADDIN CSL_CITATION {"citationItems":[{"id":"ITEM-1","itemData":{"DOI":"10.1007/s10734-022-00822-y","ISSN":"0018-1560","abstract":"This article seeks a deeper understanding of the concept of authentic assessment which ensures it does not become another educational buzzword, slowly diminishing in real meaning. I consider the origins of the term in the US schooling sector, and how it has developed over time, and in different countries, to today focus in higher education largely on real world tasks. There is, however, I argue, a common conflation of real world with the world of work. Little of this literature actually engages with the rich philosophical debates on authenticity, and in this article, I suggest that this deeper understanding of authenticity can enable us to build on existing work on authentic assessment to develop a more holistic and richer concept that will be more beneficial to individual students and to the larger society of which they are part. I argue that we should move from thinking in terms of either the so-called real world, or the world of work, to focus our justification for authentic assessment on its social value (which encompasses but is not limited to its economic value). To achieve this aim, I suggest we move from simply focusing on the authentic task to considering why that task matters? This then enables a shift from the student in isolation to the student as a member of society. Senses of achievement can become richer, thus enhancing the students’ sense of self, self-worth, and well-being.","author":[{"dropping-particle":"","family":"McArthur","given":"Jan","non-dropping-particle":"","parse-names":false,"suffix":""}],"container-title":"Higher Education","id":"ITEM-1","issue":"1","issued":{"date-parts":[["2023","1","17"]]},"page":"85-101","title":"Rethinking authentic assessment: work, well-being, and society","type":"article-journal","volume":"85"},"uris":["http://www.mendeley.com/documents/?uuid=03336f08-08a0-4d4c-b9d0-e2d01b1e21d7"]}],"mendeley":{"formattedCitation":"(McArthur, 2023)","manualFormatting":"McArthur (2023)","plainTextFormattedCitation":"(McArthur, 2023)","previouslyFormattedCitation":"(McArthur, 2023)"},"properties":{"noteIndex":0},"schema":"https://github.com/citation-style-language/schema/raw/master/csl-citation.json"}</w:instrText>
      </w:r>
      <w:r w:rsidR="00CE6B7C">
        <w:rPr>
          <w:rFonts w:ascii="Times New Roman" w:eastAsia="Times New Roman" w:hAnsi="Times New Roman"/>
          <w:sz w:val="24"/>
          <w:szCs w:val="24"/>
          <w:lang w:val="en-ID"/>
        </w:rPr>
        <w:fldChar w:fldCharType="separate"/>
      </w:r>
      <w:r w:rsidR="00CE6B7C" w:rsidRPr="00CE6B7C">
        <w:rPr>
          <w:rFonts w:ascii="Times New Roman" w:eastAsia="Times New Roman" w:hAnsi="Times New Roman"/>
          <w:sz w:val="24"/>
          <w:szCs w:val="24"/>
          <w:lang w:val="en-ID"/>
        </w:rPr>
        <w:t xml:space="preserve">McArthur </w:t>
      </w:r>
      <w:r w:rsidR="00CE6B7C">
        <w:rPr>
          <w:rFonts w:ascii="Times New Roman" w:eastAsia="Times New Roman" w:hAnsi="Times New Roman"/>
          <w:sz w:val="24"/>
          <w:szCs w:val="24"/>
          <w:lang w:val="en-ID"/>
        </w:rPr>
        <w:t>(</w:t>
      </w:r>
      <w:r w:rsidR="00CE6B7C" w:rsidRPr="00CE6B7C">
        <w:rPr>
          <w:rFonts w:ascii="Times New Roman" w:eastAsia="Times New Roman" w:hAnsi="Times New Roman"/>
          <w:sz w:val="24"/>
          <w:szCs w:val="24"/>
          <w:lang w:val="en-ID"/>
        </w:rPr>
        <w:t>2023)</w:t>
      </w:r>
      <w:r w:rsidR="00CE6B7C">
        <w:rPr>
          <w:rFonts w:ascii="Times New Roman" w:eastAsia="Times New Roman" w:hAnsi="Times New Roman"/>
          <w:sz w:val="24"/>
          <w:szCs w:val="24"/>
          <w:lang w:val="en-ID"/>
        </w:rPr>
        <w:fldChar w:fldCharType="end"/>
      </w:r>
      <w:r w:rsidRPr="00FB7B23">
        <w:rPr>
          <w:rFonts w:ascii="Times New Roman" w:eastAsia="Times New Roman" w:hAnsi="Times New Roman"/>
          <w:sz w:val="24"/>
          <w:szCs w:val="24"/>
          <w:lang w:val="en-ID"/>
        </w:rPr>
        <w:t xml:space="preserve"> cautions, however, that the term risks becoming an empty slogan unless its conceptual core is examined critically, arguing that authenticity should be anchored in well-being and social relevance rather than in a narrow equation of real-world value with workplace value. This caution is directly applicable to Indonesian writing instruction, where digital portfolios are sometimes promoted on the strength of their resemblance to professional practice alone; </w:t>
      </w:r>
      <w:r w:rsidR="00CE6B7C">
        <w:rPr>
          <w:rFonts w:ascii="Times New Roman" w:eastAsia="Times New Roman" w:hAnsi="Times New Roman"/>
          <w:sz w:val="24"/>
          <w:szCs w:val="24"/>
          <w:lang w:val="en-ID"/>
        </w:rPr>
        <w:fldChar w:fldCharType="begin" w:fldLock="1"/>
      </w:r>
      <w:r w:rsidR="00CE6B7C">
        <w:rPr>
          <w:rFonts w:ascii="Times New Roman" w:eastAsia="Times New Roman" w:hAnsi="Times New Roman"/>
          <w:sz w:val="24"/>
          <w:szCs w:val="24"/>
          <w:lang w:val="en-ID"/>
        </w:rPr>
        <w:instrText>ADDIN CSL_CITATION {"citationItems":[{"id":"ITEM-1","itemData":{"DOI":"10.1007/s10734-022-00822-y","ISSN":"0018-1560","abstract":"This article seeks a deeper understanding of the concept of authentic assessment which ensures it does not become another educational buzzword, slowly diminishing in real meaning. I consider the origins of the term in the US schooling sector, and how it has developed over time, and in different countries, to today focus in higher education largely on real world tasks. There is, however, I argue, a common conflation of real world with the world of work. Little of this literature actually engages with the rich philosophical debates on authenticity, and in this article, I suggest that this deeper understanding of authenticity can enable us to build on existing work on authentic assessment to develop a more holistic and richer concept that will be more beneficial to individual students and to the larger society of which they are part. I argue that we should move from thinking in terms of either the so-called real world, or the world of work, to focus our justification for authentic assessment on its social value (which encompasses but is not limited to its economic value). To achieve this aim, I suggest we move from simply focusing on the authentic task to considering why that task matters? This then enables a shift from the student in isolation to the student as a member of society. Senses of achievement can become richer, thus enhancing the students’ sense of self, self-worth, and well-being.","author":[{"dropping-particle":"","family":"McArthur","given":"Jan","non-dropping-particle":"","parse-names":false,"suffix":""}],"container-title":"Higher Education","id":"ITEM-1","issue":"1","issued":{"date-parts":[["2023","1","17"]]},"page":"85-101","title":"Rethinking authentic assessment: work, well-being, and society","type":"article-journal","volume":"85"},"uris":["http://www.mendeley.com/documents/?uuid=03336f08-08a0-4d4c-b9d0-e2d01b1e21d7"]}],"mendeley":{"formattedCitation":"(McArthur, 2023)","manualFormatting":"McArthur's (2023)","plainTextFormattedCitation":"(McArthur, 2023)","previouslyFormattedCitation":"(McArthur, 2023)"},"properties":{"noteIndex":0},"schema":"https://github.com/citation-style-language/schema/raw/master/csl-citation.json"}</w:instrText>
      </w:r>
      <w:r w:rsidR="00CE6B7C">
        <w:rPr>
          <w:rFonts w:ascii="Times New Roman" w:eastAsia="Times New Roman" w:hAnsi="Times New Roman"/>
          <w:sz w:val="24"/>
          <w:szCs w:val="24"/>
          <w:lang w:val="en-ID"/>
        </w:rPr>
        <w:fldChar w:fldCharType="separate"/>
      </w:r>
      <w:r w:rsidR="00CE6B7C" w:rsidRPr="00CE6B7C">
        <w:rPr>
          <w:rFonts w:ascii="Times New Roman" w:eastAsia="Times New Roman" w:hAnsi="Times New Roman"/>
          <w:sz w:val="24"/>
          <w:szCs w:val="24"/>
          <w:lang w:val="en-ID"/>
        </w:rPr>
        <w:t>McArthur</w:t>
      </w:r>
      <w:r w:rsidR="00CE6B7C">
        <w:rPr>
          <w:rFonts w:ascii="Times New Roman" w:eastAsia="Times New Roman" w:hAnsi="Times New Roman"/>
          <w:sz w:val="24"/>
          <w:szCs w:val="24"/>
          <w:lang w:val="en-ID"/>
        </w:rPr>
        <w:t>'s</w:t>
      </w:r>
      <w:r w:rsidR="00CE6B7C" w:rsidRPr="00CE6B7C">
        <w:rPr>
          <w:rFonts w:ascii="Times New Roman" w:eastAsia="Times New Roman" w:hAnsi="Times New Roman"/>
          <w:sz w:val="24"/>
          <w:szCs w:val="24"/>
          <w:lang w:val="en-ID"/>
        </w:rPr>
        <w:t xml:space="preserve"> </w:t>
      </w:r>
      <w:r w:rsidR="00CE6B7C">
        <w:rPr>
          <w:rFonts w:ascii="Times New Roman" w:eastAsia="Times New Roman" w:hAnsi="Times New Roman"/>
          <w:sz w:val="24"/>
          <w:szCs w:val="24"/>
          <w:lang w:val="en-ID"/>
        </w:rPr>
        <w:t>(</w:t>
      </w:r>
      <w:r w:rsidR="00CE6B7C" w:rsidRPr="00CE6B7C">
        <w:rPr>
          <w:rFonts w:ascii="Times New Roman" w:eastAsia="Times New Roman" w:hAnsi="Times New Roman"/>
          <w:sz w:val="24"/>
          <w:szCs w:val="24"/>
          <w:lang w:val="en-ID"/>
        </w:rPr>
        <w:t>2023)</w:t>
      </w:r>
      <w:r w:rsidR="00CE6B7C">
        <w:rPr>
          <w:rFonts w:ascii="Times New Roman" w:eastAsia="Times New Roman" w:hAnsi="Times New Roman"/>
          <w:sz w:val="24"/>
          <w:szCs w:val="24"/>
          <w:lang w:val="en-ID"/>
        </w:rPr>
        <w:fldChar w:fldCharType="end"/>
      </w:r>
      <w:r w:rsidRPr="00FB7B23">
        <w:rPr>
          <w:rFonts w:ascii="Times New Roman" w:eastAsia="Times New Roman" w:hAnsi="Times New Roman"/>
          <w:sz w:val="24"/>
          <w:szCs w:val="24"/>
          <w:lang w:val="en-ID"/>
        </w:rPr>
        <w:t xml:space="preserve"> argument suggests that their justification should instead rest on whether they support the learner's broader development as a reflective communicator.</w:t>
      </w:r>
    </w:p>
    <w:p w14:paraId="189A41DB" w14:textId="754C51F2" w:rsidR="00FB7B23" w:rsidRPr="00FB7B23" w:rsidRDefault="00CE6B7C" w:rsidP="00FB7B23">
      <w:pPr>
        <w:spacing w:line="276" w:lineRule="auto"/>
        <w:ind w:firstLine="567"/>
        <w:jc w:val="both"/>
        <w:rPr>
          <w:rFonts w:ascii="Times New Roman" w:eastAsia="Times New Roman" w:hAnsi="Times New Roman"/>
          <w:sz w:val="24"/>
          <w:szCs w:val="24"/>
          <w:lang w:val="en-ID"/>
        </w:rPr>
      </w:pPr>
      <w:r>
        <w:rPr>
          <w:rFonts w:ascii="Times New Roman" w:eastAsia="Times New Roman" w:hAnsi="Times New Roman"/>
          <w:sz w:val="24"/>
          <w:szCs w:val="24"/>
          <w:lang w:val="en-ID"/>
        </w:rPr>
        <w:fldChar w:fldCharType="begin" w:fldLock="1"/>
      </w:r>
      <w:r>
        <w:rPr>
          <w:rFonts w:ascii="Times New Roman" w:eastAsia="Times New Roman" w:hAnsi="Times New Roman"/>
          <w:sz w:val="24"/>
          <w:szCs w:val="24"/>
          <w:lang w:val="en-ID"/>
        </w:rPr>
        <w:instrText>ADDIN CSL_CITATION {"citationItems":[{"id":"ITEM-1","itemData":{"DOI":"10.62870/WJIRPM.V7I1.37444","ISSN":"2798-1541","abstract":"Kurikulum Merdeka menekankan pembelajaran berbasis kompetensi yang mendorong peserta didik untuk menguasai pengetahuan, keterampilan, dan sikap secara holistik melalui pengalaman belajar yang bermakna. Dalam konteks ini, asesmen autentik menjadi instrumen penting untuk menilai kemampuan nyata siswa dalam menerapkan konsep matematika dan sains melalui tugas-tugas kinerja seperti proyek, eksperimen, portofolio, dan penyelesaian masalah kontekstual. Namun, berbagai temuan di lapangan menunjukkan bahwa implementasi asesmen autentik dalam pembelajaran MIPA masih menghadapi tantangan, termasuk dominasi asesmen tradisional, keterbatasan kemampuan guru dalam merancang dan menggunakan rubrik, kurangnya instrumen yang valid, serta keterbatasan fasilitas pendukung. Penelitian ini menggunakan metode studi literatur dari berbagai sumber ilmiah terkini untuk memetakan konsep, implementasi, tantangan, dan peluang asesmen autentik berbasis kompetensi dalam pembelajaran MIPA. Hasil kajian menunjukkan bahwa asesmen autentik mampu meningkatkan keterampilan berpikir tingkat tinggi, literasi sains, keterlibatan siswa, dan kemampuan komunikasi ilmiah. Meskipun demikian, praktiknya belum optimal karena dipengaruhi oleh kesiapan guru, keterbatasan waktu, kesenjangan infrastruktur, dan belum meratanya pemahaman tentang karakteristik tugas autentik. Studi ini menegaskan perlunya penguatan kapasitas guru, penyediaan perangkat asesmen yang terstandar dan adaptif, dukungan sistemik sekolah, serta pemanfaatan teknologi dalam rangka meningkatkan kualitas implementasi asesmen autentik. Dengan demikian, asesmen autentik berbasis kompetensi memiliki potensi besar untuk memperkuat pembelajaran MIPA di Kurikulum Merdeka dan mewujudkan pembelajaran yang mendalam, relevan, dan berorientasi pada kompetensi abad ke-21.","author":[{"dropping-particle":"","family":"Rosidah","given":"Ai","non-dropping-particle":"","parse-names":false,"suffix":""},{"dropping-particle":"","family":"Nurhayati","given":"Dede","non-dropping-particle":"","parse-names":false,"suffix":""},{"dropping-particle":"","family":"Setiawan","given":"Roy","non-dropping-particle":"","parse-names":false,"suffix":""},{"dropping-particle":"","family":"Rodiah","given":"Rodiah","non-dropping-particle":"","parse-names":false,"suffix":""},{"dropping-particle":"","family":"Mawarni","given":"Eva","non-dropping-particle":"","parse-names":false,"suffix":""}],"container-title":"Wilangan: Jurnal Inovasi dan Riset Pendidikan Matematika","id":"ITEM-1","issue":"1","issued":{"date-parts":[["2026","3","1"]]},"page":"8-23","title":"Implementasi Asesmen Autentik Berbasis Kompetensi dalam Pembelajaran MIPA pada Kurikulum Merdeka","type":"article-journal","volume":"7"},"uris":["http://www.mendeley.com/documents/?uuid=4615df2d-7b97-3e39-ba62-4f3657ac7f6a"]}],"mendeley":{"formattedCitation":"(Rosidah et al., 2026)","manualFormatting":"Rosidah et al. (2026)","plainTextFormattedCitation":"(Rosidah et al., 2026)","previouslyFormattedCitation":"(Rosidah et al., 2026)"},"properties":{"noteIndex":0},"schema":"https://github.com/citation-style-language/schema/raw/master/csl-citation.json"}</w:instrText>
      </w:r>
      <w:r>
        <w:rPr>
          <w:rFonts w:ascii="Times New Roman" w:eastAsia="Times New Roman" w:hAnsi="Times New Roman"/>
          <w:sz w:val="24"/>
          <w:szCs w:val="24"/>
          <w:lang w:val="en-ID"/>
        </w:rPr>
        <w:fldChar w:fldCharType="separate"/>
      </w:r>
      <w:r w:rsidRPr="00CE6B7C">
        <w:rPr>
          <w:rFonts w:ascii="Times New Roman" w:eastAsia="Times New Roman" w:hAnsi="Times New Roman"/>
          <w:sz w:val="24"/>
          <w:szCs w:val="24"/>
          <w:lang w:val="en-ID"/>
        </w:rPr>
        <w:t xml:space="preserve">Rosidah et al. </w:t>
      </w:r>
      <w:r>
        <w:rPr>
          <w:rFonts w:ascii="Times New Roman" w:eastAsia="Times New Roman" w:hAnsi="Times New Roman"/>
          <w:sz w:val="24"/>
          <w:szCs w:val="24"/>
          <w:lang w:val="en-ID"/>
        </w:rPr>
        <w:t>(</w:t>
      </w:r>
      <w:r w:rsidRPr="00CE6B7C">
        <w:rPr>
          <w:rFonts w:ascii="Times New Roman" w:eastAsia="Times New Roman" w:hAnsi="Times New Roman"/>
          <w:sz w:val="24"/>
          <w:szCs w:val="24"/>
          <w:lang w:val="en-ID"/>
        </w:rPr>
        <w:t>2026)</w:t>
      </w:r>
      <w:r>
        <w:rPr>
          <w:rFonts w:ascii="Times New Roman" w:eastAsia="Times New Roman" w:hAnsi="Times New Roman"/>
          <w:sz w:val="24"/>
          <w:szCs w:val="24"/>
          <w:lang w:val="en-ID"/>
        </w:rPr>
        <w:fldChar w:fldCharType="end"/>
      </w:r>
      <w:r w:rsidR="00FB7B23" w:rsidRPr="00FB7B23">
        <w:rPr>
          <w:rFonts w:ascii="Times New Roman" w:eastAsia="Times New Roman" w:hAnsi="Times New Roman"/>
          <w:sz w:val="24"/>
          <w:szCs w:val="24"/>
          <w:lang w:val="en-ID"/>
        </w:rPr>
        <w:t xml:space="preserve"> found that competency-based authentic assessment within the Merdeka Curriculum significantly improves assessment quality when supported by valid rubrics and structured procedures, a finding that is most directly applicable to mathematics and science classrooms, the context from which their study originates, and that this review applies to writing instruction by analogy rather than by direct extension. Complementing this empirical contribution, </w:t>
      </w:r>
      <w:r>
        <w:rPr>
          <w:rFonts w:ascii="Times New Roman" w:eastAsia="Times New Roman" w:hAnsi="Times New Roman"/>
          <w:sz w:val="24"/>
          <w:szCs w:val="24"/>
          <w:lang w:val="en-ID"/>
        </w:rPr>
        <w:fldChar w:fldCharType="begin" w:fldLock="1"/>
      </w:r>
      <w:r>
        <w:rPr>
          <w:rFonts w:ascii="Times New Roman" w:eastAsia="Times New Roman" w:hAnsi="Times New Roman"/>
          <w:sz w:val="24"/>
          <w:szCs w:val="24"/>
          <w:lang w:val="en-ID"/>
        </w:rPr>
        <w:instrText>ADDIN CSL_CITATION {"citationItems":[{"id":"ITEM-1","itemData":{"DOI":"10.1016/j.evalprogplan.2024.102461","ISSN":"01497189","author":[{"dropping-particle":"","family":"Doğan","given":"Yunus","non-dropping-particle":"","parse-names":false,"suffix":""},{"dropping-particle":"","family":"Yıldırım","given":"Nazife Tuğba","non-dropping-particle":"","parse-names":false,"suffix":""},{"dropping-particle":"","family":"Batdı","given":"Veli","non-dropping-particle":"","parse-names":false,"suffix":""}],"container-title":"Evaluation and Program Planning","id":"ITEM-1","issued":{"date-parts":[["2024","10"]]},"page":"102461","title":"Effectiveness of portfolio assessment in primary education: A multi-complementary research approach","type":"article-journal","volume":"106"},"uris":["http://www.mendeley.com/documents/?uuid=929d1ffc-b41c-472d-bdbb-8dd1c52fdb00"]}],"mendeley":{"formattedCitation":"(Doğan et al., 2024)","manualFormatting":"Doğan et al. (2024)","plainTextFormattedCitation":"(Doğan et al., 2024)","previouslyFormattedCitation":"(Doğan et al., 2024)"},"properties":{"noteIndex":0},"schema":"https://github.com/citation-style-language/schema/raw/master/csl-citation.json"}</w:instrText>
      </w:r>
      <w:r>
        <w:rPr>
          <w:rFonts w:ascii="Times New Roman" w:eastAsia="Times New Roman" w:hAnsi="Times New Roman"/>
          <w:sz w:val="24"/>
          <w:szCs w:val="24"/>
          <w:lang w:val="en-ID"/>
        </w:rPr>
        <w:fldChar w:fldCharType="separate"/>
      </w:r>
      <w:r w:rsidRPr="00CE6B7C">
        <w:rPr>
          <w:rFonts w:ascii="Times New Roman" w:eastAsia="Times New Roman" w:hAnsi="Times New Roman"/>
          <w:sz w:val="24"/>
          <w:szCs w:val="24"/>
          <w:lang w:val="en-ID"/>
        </w:rPr>
        <w:t xml:space="preserve">Doğan et al. </w:t>
      </w:r>
      <w:r>
        <w:rPr>
          <w:rFonts w:ascii="Times New Roman" w:eastAsia="Times New Roman" w:hAnsi="Times New Roman"/>
          <w:sz w:val="24"/>
          <w:szCs w:val="24"/>
          <w:lang w:val="en-ID"/>
        </w:rPr>
        <w:t>(</w:t>
      </w:r>
      <w:r w:rsidRPr="00CE6B7C">
        <w:rPr>
          <w:rFonts w:ascii="Times New Roman" w:eastAsia="Times New Roman" w:hAnsi="Times New Roman"/>
          <w:sz w:val="24"/>
          <w:szCs w:val="24"/>
          <w:lang w:val="en-ID"/>
        </w:rPr>
        <w:t>2024)</w:t>
      </w:r>
      <w:r>
        <w:rPr>
          <w:rFonts w:ascii="Times New Roman" w:eastAsia="Times New Roman" w:hAnsi="Times New Roman"/>
          <w:sz w:val="24"/>
          <w:szCs w:val="24"/>
          <w:lang w:val="en-ID"/>
        </w:rPr>
        <w:fldChar w:fldCharType="end"/>
      </w:r>
      <w:r>
        <w:rPr>
          <w:rFonts w:ascii="Times New Roman" w:eastAsia="Times New Roman" w:hAnsi="Times New Roman"/>
          <w:sz w:val="24"/>
          <w:szCs w:val="24"/>
          <w:lang w:val="en-ID"/>
        </w:rPr>
        <w:t xml:space="preserve"> </w:t>
      </w:r>
      <w:r w:rsidR="00FB7B23" w:rsidRPr="00FB7B23">
        <w:rPr>
          <w:rFonts w:ascii="Times New Roman" w:eastAsia="Times New Roman" w:hAnsi="Times New Roman"/>
          <w:sz w:val="24"/>
          <w:szCs w:val="24"/>
          <w:lang w:val="en-ID"/>
        </w:rPr>
        <w:t>synthesis reinforces that the reflective dimension of portfolio work, regardless of subject area, consistently supports learners' growing capacity for self-evaluation, positioning portfolio assessment as a natural vehicle for the kind of authentic, learner-centered evaluation that the Merdeka Curriculum seeks to institutionalize.</w:t>
      </w:r>
    </w:p>
    <w:p w14:paraId="70DD2794" w14:textId="77777777" w:rsidR="00FB7B23" w:rsidRPr="00FB7B23" w:rsidRDefault="00FB7B23" w:rsidP="00FB7B23">
      <w:pPr>
        <w:spacing w:before="240" w:line="276" w:lineRule="auto"/>
        <w:jc w:val="both"/>
        <w:rPr>
          <w:rFonts w:ascii="Times New Roman" w:eastAsia="Times New Roman" w:hAnsi="Times New Roman"/>
          <w:sz w:val="24"/>
          <w:szCs w:val="24"/>
          <w:lang w:val="en-ID"/>
        </w:rPr>
      </w:pPr>
      <w:r w:rsidRPr="00FB7B23">
        <w:rPr>
          <w:rFonts w:ascii="Times New Roman" w:eastAsia="Times New Roman" w:hAnsi="Times New Roman"/>
          <w:b/>
          <w:bCs/>
          <w:sz w:val="24"/>
          <w:szCs w:val="24"/>
          <w:lang w:val="en-ID"/>
        </w:rPr>
        <w:t>The Merdeka Curriculum's Assessment Mandate</w:t>
      </w:r>
    </w:p>
    <w:p w14:paraId="6F443B5E" w14:textId="547991F2" w:rsidR="00FB7B23" w:rsidRPr="00FB7B23" w:rsidRDefault="00FB7B23" w:rsidP="00FB7B23">
      <w:pPr>
        <w:spacing w:line="276" w:lineRule="auto"/>
        <w:ind w:firstLine="567"/>
        <w:jc w:val="both"/>
        <w:rPr>
          <w:rFonts w:ascii="Times New Roman" w:eastAsia="Times New Roman" w:hAnsi="Times New Roman"/>
          <w:sz w:val="24"/>
          <w:szCs w:val="24"/>
          <w:lang w:val="en-ID"/>
        </w:rPr>
      </w:pPr>
      <w:r w:rsidRPr="00FB7B23">
        <w:rPr>
          <w:rFonts w:ascii="Times New Roman" w:eastAsia="Times New Roman" w:hAnsi="Times New Roman"/>
          <w:sz w:val="24"/>
          <w:szCs w:val="24"/>
          <w:lang w:val="en-ID"/>
        </w:rPr>
        <w:t>Having established what authentic assessment requires in principle, this section turns to the specific policy framework that makes such assessment obligatory rather than optional in the Indonesian context. The Merdeka Curriculum rests on three interlocking foundations: student-centered learning, cultivation of the Pancasila Student Profile, and holistic, continuous assessment</w:t>
      </w:r>
      <w:r w:rsidR="00CE6B7C">
        <w:rPr>
          <w:rFonts w:ascii="Times New Roman" w:eastAsia="Times New Roman" w:hAnsi="Times New Roman"/>
          <w:sz w:val="24"/>
          <w:szCs w:val="24"/>
          <w:lang w:val="en-ID"/>
        </w:rPr>
        <w:t xml:space="preserve"> </w:t>
      </w:r>
      <w:r w:rsidR="00CE6B7C">
        <w:rPr>
          <w:rFonts w:ascii="Times New Roman" w:eastAsia="Times New Roman" w:hAnsi="Times New Roman"/>
          <w:sz w:val="24"/>
          <w:szCs w:val="24"/>
          <w:lang w:val="en-ID"/>
        </w:rPr>
        <w:fldChar w:fldCharType="begin" w:fldLock="1"/>
      </w:r>
      <w:r w:rsidR="00CE6B7C">
        <w:rPr>
          <w:rFonts w:ascii="Times New Roman" w:eastAsia="Times New Roman" w:hAnsi="Times New Roman"/>
          <w:sz w:val="24"/>
          <w:szCs w:val="24"/>
          <w:lang w:val="en-ID"/>
        </w:rPr>
        <w:instrText>ADDIN CSL_CITATION {"citationItems":[{"id":"ITEM-1","itemData":{"author":[{"dropping-particle":"","family":"Anggraena","given":"Yogi","non-dropping-particle":"","parse-names":false,"suffix":""},{"dropping-particle":"","family":"Ginanto","given":"Dion Efrijum","non-dropping-particle":"","parse-names":false,"suffix":""},{"dropping-particle":"","family":"Kesuma","given":"Ameliasari Tauresia","non-dropping-particle":"","parse-names":false,"suffix":""},{"dropping-particle":"","family":"Setiyowati","given":"Dwi","non-dropping-particle":"","parse-names":false,"suffix":""}],"edition":"Revisi Ke-3","id":"ITEM-1","issued":{"date-parts":[["2025"]]},"publisher":"Badan Standar, Kurikulum, dan Asesmen Pendidikan (BSKAP) Kementerian Pendidikan, Kebudayaan, Riset, dan Teknologi","title":"Panduan Pembelajaran dan Asesmen 2025: Panduan Pembelajaran dan Asesmen Pendidikan Anak Usia Dini, Pendidikan Dasar dan Pendidikan Menengah","type":"book"},"uris":["http://www.mendeley.com/documents/?uuid=c93db698-a2e6-31bf-9e9c-bff3a3ed0afc"]}],"mendeley":{"formattedCitation":"(Anggraena et al., 2025)","plainTextFormattedCitation":"(Anggraena et al., 2025)","previouslyFormattedCitation":"(Anggraena et al., 2025)"},"properties":{"noteIndex":0},"schema":"https://github.com/citation-style-language/schema/raw/master/csl-citation.json"}</w:instrText>
      </w:r>
      <w:r w:rsidR="00CE6B7C">
        <w:rPr>
          <w:rFonts w:ascii="Times New Roman" w:eastAsia="Times New Roman" w:hAnsi="Times New Roman"/>
          <w:sz w:val="24"/>
          <w:szCs w:val="24"/>
          <w:lang w:val="en-ID"/>
        </w:rPr>
        <w:fldChar w:fldCharType="separate"/>
      </w:r>
      <w:r w:rsidR="00CE6B7C" w:rsidRPr="00CE6B7C">
        <w:rPr>
          <w:rFonts w:ascii="Times New Roman" w:eastAsia="Times New Roman" w:hAnsi="Times New Roman"/>
          <w:sz w:val="24"/>
          <w:szCs w:val="24"/>
          <w:lang w:val="en-ID"/>
        </w:rPr>
        <w:t>(Anggraena et al., 2025)</w:t>
      </w:r>
      <w:r w:rsidR="00CE6B7C">
        <w:rPr>
          <w:rFonts w:ascii="Times New Roman" w:eastAsia="Times New Roman" w:hAnsi="Times New Roman"/>
          <w:sz w:val="24"/>
          <w:szCs w:val="24"/>
          <w:lang w:val="en-ID"/>
        </w:rPr>
        <w:fldChar w:fldCharType="end"/>
      </w:r>
      <w:r w:rsidRPr="00FB7B23">
        <w:rPr>
          <w:rFonts w:ascii="Times New Roman" w:eastAsia="Times New Roman" w:hAnsi="Times New Roman"/>
          <w:sz w:val="24"/>
          <w:szCs w:val="24"/>
          <w:lang w:val="en-ID"/>
        </w:rPr>
        <w:t>. The governing regulation on assessment standards, Permendikbudristek Nomor 21 Tahun 2022, establishes that assessment must be fair, objective, educative, and procedurally structured around the formulation of assessment objectives, the selection of appropriate instruments, and the processing of assessment results, formally superseding the assessment framework that preceded the Merdeka Curriculum's introduction</w:t>
      </w:r>
      <w:r w:rsidR="002C0006">
        <w:rPr>
          <w:rFonts w:ascii="Times New Roman" w:eastAsia="Times New Roman" w:hAnsi="Times New Roman"/>
          <w:sz w:val="24"/>
          <w:szCs w:val="24"/>
          <w:lang w:val="en-ID"/>
        </w:rPr>
        <w:t xml:space="preserve"> </w:t>
      </w:r>
      <w:r w:rsidRPr="00FB7B23">
        <w:rPr>
          <w:rFonts w:ascii="Times New Roman" w:eastAsia="Times New Roman" w:hAnsi="Times New Roman"/>
          <w:sz w:val="24"/>
          <w:szCs w:val="24"/>
          <w:lang w:val="en-ID"/>
        </w:rPr>
        <w:t>. These principles collectively demand assessment instruments that extend well beyond summative written testing.</w:t>
      </w:r>
    </w:p>
    <w:p w14:paraId="27A686DA" w14:textId="3F06DAA3" w:rsidR="00FB7B23" w:rsidRPr="00FB7B23" w:rsidRDefault="00CE6B7C" w:rsidP="00FB7B23">
      <w:pPr>
        <w:spacing w:line="276" w:lineRule="auto"/>
        <w:ind w:firstLine="567"/>
        <w:jc w:val="both"/>
        <w:rPr>
          <w:rFonts w:ascii="Times New Roman" w:eastAsia="Times New Roman" w:hAnsi="Times New Roman"/>
          <w:sz w:val="24"/>
          <w:szCs w:val="24"/>
          <w:lang w:val="en-ID"/>
        </w:rPr>
      </w:pPr>
      <w:r>
        <w:rPr>
          <w:rFonts w:ascii="Times New Roman" w:eastAsia="Times New Roman" w:hAnsi="Times New Roman"/>
          <w:sz w:val="24"/>
          <w:szCs w:val="24"/>
          <w:lang w:val="en-ID"/>
        </w:rPr>
        <w:fldChar w:fldCharType="begin" w:fldLock="1"/>
      </w:r>
      <w:r w:rsidR="00AA099C">
        <w:rPr>
          <w:rFonts w:ascii="Times New Roman" w:eastAsia="Times New Roman" w:hAnsi="Times New Roman"/>
          <w:sz w:val="24"/>
          <w:szCs w:val="24"/>
          <w:lang w:val="en-ID"/>
        </w:rPr>
        <w:instrText>ADDIN CSL_CITATION {"citationItems":[{"id":"ITEM-1","itemData":{"DOI":"10.31000/jkip.v5i2.10073","ISSN":"2656-8756","abstract":"The purpose of portfolio assessment is to serve as a formative and summative assessment tool. As a tool for formative assessment, portfolios are used to track students' daily development and motivate them to think critically about what they have learned. This study employed a qualitative research methodology, utilizing library research. Although some schools have begun to utilize it and the government has suggested that portfolio assessment be used at all educational levels, it is still seen as novel in Indonesia. Depending on the content, a portfolio can take many different forms. Some include documents, images, essays, and more. Furthermore, the purpose of a portfolio can vary depending on whether it is used for formative or summative evaluation. Generally speaking, during formative or diagnostic assessments, all students work is included, whether it is still a draft or semi-finished work or the final result. For summative assessment, not all work is included, only work that is relevant for assessment is included in the portfolio. Keywords: Evaluation, Portofolio, Assesment","author":[{"dropping-particle":"","family":"Marzuki","given":"Ismail","non-dropping-particle":"","parse-names":false,"suffix":""}],"container-title":"Tadarus Tarbawy : Jurnal Kajian Islam dan Pendidikan","id":"ITEM-1","issue":"2","issued":{"date-parts":[["2023","12","27"]]},"title":"Urgensi Penilaian Portofolio Dalam Evaluasi Pembelajaran Di Era Society 5.0","type":"article-journal","volume":"5"},"uris":["http://www.mendeley.com/documents/?uuid=e38dceb3-1b8f-4757-8d6e-81903d3bf99d"]}],"mendeley":{"formattedCitation":"(Marzuki, 2023)","manualFormatting":"Marzuki (2023)","plainTextFormattedCitation":"(Marzuki, 2023)","previouslyFormattedCitation":"(Marzuki, 2023)"},"properties":{"noteIndex":0},"schema":"https://github.com/citation-style-language/schema/raw/master/csl-citation.json"}</w:instrText>
      </w:r>
      <w:r>
        <w:rPr>
          <w:rFonts w:ascii="Times New Roman" w:eastAsia="Times New Roman" w:hAnsi="Times New Roman"/>
          <w:sz w:val="24"/>
          <w:szCs w:val="24"/>
          <w:lang w:val="en-ID"/>
        </w:rPr>
        <w:fldChar w:fldCharType="separate"/>
      </w:r>
      <w:r w:rsidRPr="00CE6B7C">
        <w:rPr>
          <w:rFonts w:ascii="Times New Roman" w:eastAsia="Times New Roman" w:hAnsi="Times New Roman"/>
          <w:sz w:val="24"/>
          <w:szCs w:val="24"/>
          <w:lang w:val="en-ID"/>
        </w:rPr>
        <w:t xml:space="preserve">Marzuki </w:t>
      </w:r>
      <w:r>
        <w:rPr>
          <w:rFonts w:ascii="Times New Roman" w:eastAsia="Times New Roman" w:hAnsi="Times New Roman"/>
          <w:sz w:val="24"/>
          <w:szCs w:val="24"/>
          <w:lang w:val="en-ID"/>
        </w:rPr>
        <w:t>(</w:t>
      </w:r>
      <w:r w:rsidRPr="00CE6B7C">
        <w:rPr>
          <w:rFonts w:ascii="Times New Roman" w:eastAsia="Times New Roman" w:hAnsi="Times New Roman"/>
          <w:sz w:val="24"/>
          <w:szCs w:val="24"/>
          <w:lang w:val="en-ID"/>
        </w:rPr>
        <w:t>2023)</w:t>
      </w:r>
      <w:r>
        <w:rPr>
          <w:rFonts w:ascii="Times New Roman" w:eastAsia="Times New Roman" w:hAnsi="Times New Roman"/>
          <w:sz w:val="24"/>
          <w:szCs w:val="24"/>
          <w:lang w:val="en-ID"/>
        </w:rPr>
        <w:fldChar w:fldCharType="end"/>
      </w:r>
      <w:r w:rsidR="00FB7B23" w:rsidRPr="00FB7B23">
        <w:rPr>
          <w:rFonts w:ascii="Times New Roman" w:eastAsia="Times New Roman" w:hAnsi="Times New Roman"/>
          <w:sz w:val="24"/>
          <w:szCs w:val="24"/>
          <w:lang w:val="en-ID"/>
        </w:rPr>
        <w:t xml:space="preserve"> contends that portfolios function as formative evaluation tools precisely because they push students to reflect on their own learning, a capability central to cultivating independent and sustained writers, and one that corresponds closely with the independent and critical-thinking dimensions of the Pancasila Student Profile. Read alongside </w:t>
      </w:r>
      <w:r w:rsidR="00AA099C">
        <w:rPr>
          <w:rFonts w:ascii="Times New Roman" w:eastAsia="Times New Roman" w:hAnsi="Times New Roman"/>
          <w:sz w:val="24"/>
          <w:szCs w:val="24"/>
          <w:lang w:val="en-ID"/>
        </w:rPr>
        <w:fldChar w:fldCharType="begin" w:fldLock="1"/>
      </w:r>
      <w:r w:rsidR="00AA099C">
        <w:rPr>
          <w:rFonts w:ascii="Times New Roman" w:eastAsia="Times New Roman" w:hAnsi="Times New Roman"/>
          <w:sz w:val="24"/>
          <w:szCs w:val="24"/>
          <w:lang w:val="en-ID"/>
        </w:rPr>
        <w:instrText>ADDIN CSL_CITATION {"citationItems":[{"id":"ITEM-1","itemData":{"DOI":"10.1016/j.evalprogplan.2024.102461","ISSN":"01497189","author":[{"dropping-particle":"","family":"Doğan","given":"Yunus","non-dropping-particle":"","parse-names":false,"suffix":""},{"dropping-particle":"","family":"Yıldırım","given":"Nazife Tuğba","non-dropping-particle":"","parse-names":false,"suffix":""},{"dropping-particle":"","family":"Batdı","given":"Veli","non-dropping-particle":"","parse-names":false,"suffix":""}],"container-title":"Evaluation and Program Planning","id":"ITEM-1","issued":{"date-parts":[["2024","10"]]},"page":"102461","title":"Effectiveness of portfolio assessment in primary education: A multi-complementary research approach","type":"article-journal","volume":"106"},"uris":["http://www.mendeley.com/documents/?uuid=929d1ffc-b41c-472d-bdbb-8dd1c52fdb00"]}],"mendeley":{"formattedCitation":"(Doğan et al., 2024)","manualFormatting":"Doğan et al. (2024)","plainTextFormattedCitation":"(Doğan et al., 2024)","previouslyFormattedCitation":"(Doğan et al., 2024)"},"properties":{"noteIndex":0},"schema":"https://github.com/citation-style-language/schema/raw/master/csl-citation.json"}</w:instrText>
      </w:r>
      <w:r w:rsidR="00AA099C">
        <w:rPr>
          <w:rFonts w:ascii="Times New Roman" w:eastAsia="Times New Roman" w:hAnsi="Times New Roman"/>
          <w:sz w:val="24"/>
          <w:szCs w:val="24"/>
          <w:lang w:val="en-ID"/>
        </w:rPr>
        <w:fldChar w:fldCharType="separate"/>
      </w:r>
      <w:r w:rsidR="00AA099C" w:rsidRPr="00AA099C">
        <w:rPr>
          <w:rFonts w:ascii="Times New Roman" w:eastAsia="Times New Roman" w:hAnsi="Times New Roman"/>
          <w:sz w:val="24"/>
          <w:szCs w:val="24"/>
          <w:lang w:val="en-ID"/>
        </w:rPr>
        <w:t>Doğan et al</w:t>
      </w:r>
      <w:r w:rsidR="00AA099C">
        <w:rPr>
          <w:rFonts w:ascii="Times New Roman" w:eastAsia="Times New Roman" w:hAnsi="Times New Roman"/>
          <w:sz w:val="24"/>
          <w:szCs w:val="24"/>
          <w:lang w:val="en-ID"/>
        </w:rPr>
        <w:t>.</w:t>
      </w:r>
      <w:r w:rsidR="00AA099C" w:rsidRPr="00AA099C">
        <w:rPr>
          <w:rFonts w:ascii="Times New Roman" w:eastAsia="Times New Roman" w:hAnsi="Times New Roman"/>
          <w:sz w:val="24"/>
          <w:szCs w:val="24"/>
          <w:lang w:val="en-ID"/>
        </w:rPr>
        <w:t xml:space="preserve"> </w:t>
      </w:r>
      <w:r w:rsidR="00AA099C">
        <w:rPr>
          <w:rFonts w:ascii="Times New Roman" w:eastAsia="Times New Roman" w:hAnsi="Times New Roman"/>
          <w:sz w:val="24"/>
          <w:szCs w:val="24"/>
          <w:lang w:val="en-ID"/>
        </w:rPr>
        <w:t>(</w:t>
      </w:r>
      <w:r w:rsidR="00AA099C" w:rsidRPr="00AA099C">
        <w:rPr>
          <w:rFonts w:ascii="Times New Roman" w:eastAsia="Times New Roman" w:hAnsi="Times New Roman"/>
          <w:sz w:val="24"/>
          <w:szCs w:val="24"/>
          <w:lang w:val="en-ID"/>
        </w:rPr>
        <w:t>2024)</w:t>
      </w:r>
      <w:r w:rsidR="00AA099C">
        <w:rPr>
          <w:rFonts w:ascii="Times New Roman" w:eastAsia="Times New Roman" w:hAnsi="Times New Roman"/>
          <w:sz w:val="24"/>
          <w:szCs w:val="24"/>
          <w:lang w:val="en-ID"/>
        </w:rPr>
        <w:fldChar w:fldCharType="end"/>
      </w:r>
      <w:r w:rsidR="00AA099C">
        <w:rPr>
          <w:rFonts w:ascii="Times New Roman" w:eastAsia="Times New Roman" w:hAnsi="Times New Roman"/>
          <w:sz w:val="24"/>
          <w:szCs w:val="24"/>
          <w:lang w:val="en-ID"/>
        </w:rPr>
        <w:t xml:space="preserve"> </w:t>
      </w:r>
      <w:r w:rsidR="00FB7B23" w:rsidRPr="00FB7B23">
        <w:rPr>
          <w:rFonts w:ascii="Times New Roman" w:eastAsia="Times New Roman" w:hAnsi="Times New Roman"/>
          <w:sz w:val="24"/>
          <w:szCs w:val="24"/>
          <w:lang w:val="en-ID"/>
        </w:rPr>
        <w:t xml:space="preserve">empirical confirmation that portfolio-based reflection meaningfully supports learner self-evaluation, </w:t>
      </w:r>
      <w:r w:rsidR="00AA099C">
        <w:rPr>
          <w:rFonts w:ascii="Times New Roman" w:eastAsia="Times New Roman" w:hAnsi="Times New Roman"/>
          <w:sz w:val="24"/>
          <w:szCs w:val="24"/>
          <w:lang w:val="en-ID"/>
        </w:rPr>
        <w:fldChar w:fldCharType="begin" w:fldLock="1"/>
      </w:r>
      <w:r w:rsidR="00AA099C">
        <w:rPr>
          <w:rFonts w:ascii="Times New Roman" w:eastAsia="Times New Roman" w:hAnsi="Times New Roman"/>
          <w:sz w:val="24"/>
          <w:szCs w:val="24"/>
          <w:lang w:val="en-ID"/>
        </w:rPr>
        <w:instrText>ADDIN CSL_CITATION {"citationItems":[{"id":"ITEM-1","itemData":{"DOI":"10.31000/jkip.v5i2.10073","ISSN":"2656-8756","abstract":"The purpose of portfolio assessment is to serve as a formative and summative assessment tool. As a tool for formative assessment, portfolios are used to track students' daily development and motivate them to think critically about what they have learned. This study employed a qualitative research methodology, utilizing library research. Although some schools have begun to utilize it and the government has suggested that portfolio assessment be used at all educational levels, it is still seen as novel in Indonesia. Depending on the content, a portfolio can take many different forms. Some include documents, images, essays, and more. Furthermore, the purpose of a portfolio can vary depending on whether it is used for formative or summative evaluation. Generally speaking, during formative or diagnostic assessments, all students work is included, whether it is still a draft or semi-finished work or the final result. For summative assessment, not all work is included, only work that is relevant for assessment is included in the portfolio. Keywords: Evaluation, Portofolio, Assesment","author":[{"dropping-particle":"","family":"Marzuki","given":"Ismail","non-dropping-particle":"","parse-names":false,"suffix":""}],"container-title":"Tadarus Tarbawy : Jurnal Kajian Islam dan Pendidikan","id":"ITEM-1","issue":"2","issued":{"date-parts":[["2023","12","27"]]},"title":"Urgensi Penilaian Portofolio Dalam Evaluasi Pembelajaran Di Era Society 5.0","type":"article-journal","volume":"5"},"uris":["http://www.mendeley.com/documents/?uuid=e38dceb3-1b8f-4757-8d6e-81903d3bf99d"]}],"mendeley":{"formattedCitation":"(Marzuki, 2023)","manualFormatting":"Marzuki's (2023)","plainTextFormattedCitation":"(Marzuki, 2023)","previouslyFormattedCitation":"(Marzuki, 2023)"},"properties":{"noteIndex":0},"schema":"https://github.com/citation-style-language/schema/raw/master/csl-citation.json"}</w:instrText>
      </w:r>
      <w:r w:rsidR="00AA099C">
        <w:rPr>
          <w:rFonts w:ascii="Times New Roman" w:eastAsia="Times New Roman" w:hAnsi="Times New Roman"/>
          <w:sz w:val="24"/>
          <w:szCs w:val="24"/>
          <w:lang w:val="en-ID"/>
        </w:rPr>
        <w:fldChar w:fldCharType="separate"/>
      </w:r>
      <w:r w:rsidR="00AA099C" w:rsidRPr="00AA099C">
        <w:rPr>
          <w:rFonts w:ascii="Times New Roman" w:eastAsia="Times New Roman" w:hAnsi="Times New Roman"/>
          <w:sz w:val="24"/>
          <w:szCs w:val="24"/>
          <w:lang w:val="en-ID"/>
        </w:rPr>
        <w:t>Marzuki</w:t>
      </w:r>
      <w:r w:rsidR="00AA099C">
        <w:rPr>
          <w:rFonts w:ascii="Times New Roman" w:eastAsia="Times New Roman" w:hAnsi="Times New Roman"/>
          <w:sz w:val="24"/>
          <w:szCs w:val="24"/>
          <w:lang w:val="en-ID"/>
        </w:rPr>
        <w:t>'s</w:t>
      </w:r>
      <w:r w:rsidR="00AA099C" w:rsidRPr="00AA099C">
        <w:rPr>
          <w:rFonts w:ascii="Times New Roman" w:eastAsia="Times New Roman" w:hAnsi="Times New Roman"/>
          <w:sz w:val="24"/>
          <w:szCs w:val="24"/>
          <w:lang w:val="en-ID"/>
        </w:rPr>
        <w:t xml:space="preserve"> </w:t>
      </w:r>
      <w:r w:rsidR="00AA099C">
        <w:rPr>
          <w:rFonts w:ascii="Times New Roman" w:eastAsia="Times New Roman" w:hAnsi="Times New Roman"/>
          <w:sz w:val="24"/>
          <w:szCs w:val="24"/>
          <w:lang w:val="en-ID"/>
        </w:rPr>
        <w:t>(</w:t>
      </w:r>
      <w:r w:rsidR="00AA099C" w:rsidRPr="00AA099C">
        <w:rPr>
          <w:rFonts w:ascii="Times New Roman" w:eastAsia="Times New Roman" w:hAnsi="Times New Roman"/>
          <w:sz w:val="24"/>
          <w:szCs w:val="24"/>
          <w:lang w:val="en-ID"/>
        </w:rPr>
        <w:t>2023)</w:t>
      </w:r>
      <w:r w:rsidR="00AA099C">
        <w:rPr>
          <w:rFonts w:ascii="Times New Roman" w:eastAsia="Times New Roman" w:hAnsi="Times New Roman"/>
          <w:sz w:val="24"/>
          <w:szCs w:val="24"/>
          <w:lang w:val="en-ID"/>
        </w:rPr>
        <w:fldChar w:fldCharType="end"/>
      </w:r>
      <w:r w:rsidR="00FB7B23" w:rsidRPr="00FB7B23">
        <w:rPr>
          <w:rFonts w:ascii="Times New Roman" w:eastAsia="Times New Roman" w:hAnsi="Times New Roman"/>
          <w:sz w:val="24"/>
          <w:szCs w:val="24"/>
          <w:lang w:val="en-ID"/>
        </w:rPr>
        <w:t xml:space="preserve"> conceptual claim gains additional empirical </w:t>
      </w:r>
      <w:r w:rsidR="00FB7B23" w:rsidRPr="00FB7B23">
        <w:rPr>
          <w:rFonts w:ascii="Times New Roman" w:eastAsia="Times New Roman" w:hAnsi="Times New Roman"/>
          <w:sz w:val="24"/>
          <w:szCs w:val="24"/>
          <w:lang w:val="en-ID"/>
        </w:rPr>
        <w:lastRenderedPageBreak/>
        <w:t>grounding. Digital portfolio assessment, understood in this light, does not merely accommodate the pedagogical foundations of the Merdeka Curriculum incidentally; it operationalizes them directly, translating policy language about holistic and reflective assessment into a concrete classroom instrument.</w:t>
      </w:r>
    </w:p>
    <w:p w14:paraId="72E2183D" w14:textId="2035E817" w:rsidR="00F776C1" w:rsidRPr="00CB0F37" w:rsidRDefault="00633359" w:rsidP="00D22F00">
      <w:pPr>
        <w:spacing w:before="240" w:after="240" w:line="276" w:lineRule="auto"/>
        <w:jc w:val="both"/>
        <w:rPr>
          <w:rFonts w:ascii="Times New Roman" w:hAnsi="Times New Roman"/>
          <w:b/>
          <w:bCs/>
          <w:sz w:val="24"/>
          <w:szCs w:val="24"/>
          <w:lang w:val="id-ID"/>
        </w:rPr>
      </w:pPr>
      <w:r>
        <w:rPr>
          <w:rFonts w:ascii="Times New Roman" w:hAnsi="Times New Roman"/>
          <w:b/>
          <w:bCs/>
          <w:sz w:val="24"/>
          <w:szCs w:val="24"/>
        </w:rPr>
        <w:t>RE</w:t>
      </w:r>
      <w:r w:rsidR="005236E7" w:rsidRPr="00CB0F37">
        <w:rPr>
          <w:rFonts w:ascii="Times New Roman" w:hAnsi="Times New Roman"/>
          <w:b/>
          <w:bCs/>
          <w:sz w:val="24"/>
          <w:szCs w:val="24"/>
          <w:lang w:val="id-ID"/>
        </w:rPr>
        <w:t>SEARCH METHODOLOGY</w:t>
      </w:r>
    </w:p>
    <w:p w14:paraId="18B13B2B" w14:textId="31A1A976" w:rsidR="00FB7B23" w:rsidRPr="00FB7B23" w:rsidRDefault="00FB7B23" w:rsidP="00FB7B23">
      <w:pPr>
        <w:spacing w:line="276" w:lineRule="auto"/>
        <w:ind w:firstLine="567"/>
        <w:jc w:val="both"/>
        <w:rPr>
          <w:rFonts w:ascii="Times New Roman" w:eastAsia="Times New Roman" w:hAnsi="Times New Roman"/>
          <w:sz w:val="24"/>
          <w:szCs w:val="24"/>
          <w:lang w:val="en-ID"/>
        </w:rPr>
      </w:pPr>
      <w:r w:rsidRPr="00FB7B23">
        <w:rPr>
          <w:rFonts w:ascii="Times New Roman" w:eastAsia="Times New Roman" w:hAnsi="Times New Roman"/>
          <w:sz w:val="24"/>
          <w:szCs w:val="24"/>
        </w:rPr>
        <w:t>This study employed a library research method following a conceptual review approach, selected because the objective was not to describe an empirical phenomenon observed in the field but to construct a coherent conceptual framework through the synthesis of findings drawn from relevant scientific literature</w:t>
      </w:r>
      <w:r w:rsidR="00AA099C">
        <w:rPr>
          <w:rFonts w:ascii="Times New Roman" w:eastAsia="Times New Roman" w:hAnsi="Times New Roman"/>
          <w:sz w:val="24"/>
          <w:szCs w:val="24"/>
        </w:rPr>
        <w:t xml:space="preserve"> </w:t>
      </w:r>
      <w:r w:rsidR="00AA099C">
        <w:rPr>
          <w:rFonts w:ascii="Times New Roman" w:eastAsia="Times New Roman" w:hAnsi="Times New Roman"/>
          <w:sz w:val="24"/>
          <w:szCs w:val="24"/>
        </w:rPr>
        <w:fldChar w:fldCharType="begin" w:fldLock="1"/>
      </w:r>
      <w:r w:rsidR="00AA099C">
        <w:rPr>
          <w:rFonts w:ascii="Times New Roman" w:eastAsia="Times New Roman" w:hAnsi="Times New Roman"/>
          <w:sz w:val="24"/>
          <w:szCs w:val="24"/>
        </w:rPr>
        <w:instrText>ADDIN CSL_CITATION {"citationItems":[{"id":"ITEM-1","itemData":{"ISBN":"9781440878572","author":[{"dropping-particle":"","family":"Connaway","given":"Lynn Silipigni","non-dropping-particle":"","parse-names":false,"suffix":""},{"dropping-particle":"","family":"Radford","given":"Marie L","non-dropping-particle":"","parse-names":false,"suffix":""}],"edition":"Seventh","id":"ITEM-1","issued":{"date-parts":[["2021"]]},"publisher":"Bloomsbury Publishing","title":"Research Methods in Library and Information Science: : Library and Information Science Text Series","type":"book"},"uris":["http://www.mendeley.com/documents/?uuid=5ad41df1-2f13-3a16-8e35-d6deb53b6753"]}],"mendeley":{"formattedCitation":"(Connaway &amp; Radford, 2021)","plainTextFormattedCitation":"(Connaway &amp; Radford, 2021)","previouslyFormattedCitation":"(Connaway &amp; Radford, 2021)"},"properties":{"noteIndex":0},"schema":"https://github.com/citation-style-language/schema/raw/master/csl-citation.json"}</w:instrText>
      </w:r>
      <w:r w:rsidR="00AA099C">
        <w:rPr>
          <w:rFonts w:ascii="Times New Roman" w:eastAsia="Times New Roman" w:hAnsi="Times New Roman"/>
          <w:sz w:val="24"/>
          <w:szCs w:val="24"/>
        </w:rPr>
        <w:fldChar w:fldCharType="separate"/>
      </w:r>
      <w:r w:rsidR="00AA099C" w:rsidRPr="00AA099C">
        <w:rPr>
          <w:rFonts w:ascii="Times New Roman" w:eastAsia="Times New Roman" w:hAnsi="Times New Roman"/>
          <w:sz w:val="24"/>
          <w:szCs w:val="24"/>
        </w:rPr>
        <w:t>(Connaway &amp; Radford, 2021)</w:t>
      </w:r>
      <w:r w:rsidR="00AA099C">
        <w:rPr>
          <w:rFonts w:ascii="Times New Roman" w:eastAsia="Times New Roman" w:hAnsi="Times New Roman"/>
          <w:sz w:val="24"/>
          <w:szCs w:val="24"/>
        </w:rPr>
        <w:fldChar w:fldCharType="end"/>
      </w:r>
      <w:r w:rsidRPr="00FB7B23">
        <w:rPr>
          <w:rFonts w:ascii="Times New Roman" w:eastAsia="Times New Roman" w:hAnsi="Times New Roman"/>
          <w:sz w:val="24"/>
          <w:szCs w:val="24"/>
        </w:rPr>
        <w:t>. This method aligned with the defining feature of a conceptual review, namely that theories, concepts, and ideas serve as the primary unit of analysis rather than raw observational data. To establish the research gap that motivates this review, an initial search was conducted across Scopus, SINTA, and Google Scholar using the keywords digital portfolio, authentic assessment, writing learning, and Merdeka Curriculum, both individually and in combination; this search returned no conceptual review that synthesizes digital portfolio assessment specifically within the assessment architecture of the Merdeka Curriculum for Indonesian secondary-level writing instruction, confirming the gap identified in the Introduction rather than merely asserting it.</w:t>
      </w:r>
    </w:p>
    <w:p w14:paraId="62378E40" w14:textId="5009AD03" w:rsidR="00FB7B23" w:rsidRPr="00FB7B23" w:rsidRDefault="00FB7B23" w:rsidP="00FB7B23">
      <w:pPr>
        <w:spacing w:line="276" w:lineRule="auto"/>
        <w:ind w:firstLine="567"/>
        <w:jc w:val="both"/>
        <w:rPr>
          <w:rFonts w:ascii="Times New Roman" w:eastAsia="Times New Roman" w:hAnsi="Times New Roman"/>
          <w:sz w:val="24"/>
          <w:szCs w:val="24"/>
          <w:lang w:val="en-ID"/>
        </w:rPr>
      </w:pPr>
      <w:r w:rsidRPr="00FB7B23">
        <w:rPr>
          <w:rFonts w:ascii="Times New Roman" w:eastAsia="Times New Roman" w:hAnsi="Times New Roman"/>
          <w:sz w:val="24"/>
          <w:szCs w:val="24"/>
        </w:rPr>
        <w:t>The data sources for this study consisted primarily of national and international scientific journal articles published within the last decade, with priority given to literature dated 2020 to 2025 to ensure currency with the Merdeka Curriculum's own implementation timeline. A small number of foundational works that predate this window were retained where no equivalent recent source existed and where the work in question constituted a seminal methodological or conceptual contribution rather than a routine empirical finding; such instances are identified explicitly at the point of citation rather than left for the reader to infer. Source selection otherwise prioritized journals indexed in Scopus or SINTA and authors recognized within the fields of language assessment, educational technology, and Merdeka Curriculum policy. Data collection was conducted through systematic academic database searches using the keywords identified above, supplemented by targeted searches for studies addressing digital and electronic portfolio assessment in writing instruction specifically.</w:t>
      </w:r>
    </w:p>
    <w:p w14:paraId="08591ED8" w14:textId="08AC12E5" w:rsidR="00FB7B23" w:rsidRPr="00FB7B23" w:rsidRDefault="00FB7B23" w:rsidP="00FB7B23">
      <w:pPr>
        <w:spacing w:line="276" w:lineRule="auto"/>
        <w:ind w:firstLine="567"/>
        <w:jc w:val="both"/>
        <w:rPr>
          <w:rFonts w:ascii="Times New Roman" w:eastAsia="Times New Roman" w:hAnsi="Times New Roman"/>
          <w:sz w:val="24"/>
          <w:szCs w:val="24"/>
          <w:lang w:val="en-ID"/>
        </w:rPr>
      </w:pPr>
      <w:r w:rsidRPr="00FB7B23">
        <w:rPr>
          <w:rFonts w:ascii="Times New Roman" w:eastAsia="Times New Roman" w:hAnsi="Times New Roman"/>
          <w:sz w:val="24"/>
          <w:szCs w:val="24"/>
          <w:lang w:val="en-ID"/>
        </w:rPr>
        <w:t>Data analysis followed the interactive qualitative model of data condensation, data display, and conclusion drawing developed by</w:t>
      </w:r>
      <w:r w:rsidR="00AA099C">
        <w:rPr>
          <w:rFonts w:ascii="Times New Roman" w:eastAsia="Times New Roman" w:hAnsi="Times New Roman"/>
          <w:sz w:val="24"/>
          <w:szCs w:val="24"/>
          <w:lang w:val="en-ID"/>
        </w:rPr>
        <w:t xml:space="preserve"> </w:t>
      </w:r>
      <w:r w:rsidR="00AA099C">
        <w:rPr>
          <w:rFonts w:ascii="Times New Roman" w:eastAsia="Times New Roman" w:hAnsi="Times New Roman"/>
          <w:sz w:val="24"/>
          <w:szCs w:val="24"/>
          <w:lang w:val="en-ID"/>
        </w:rPr>
        <w:fldChar w:fldCharType="begin" w:fldLock="1"/>
      </w:r>
      <w:r w:rsidR="00AA099C">
        <w:rPr>
          <w:rFonts w:ascii="Times New Roman" w:eastAsia="Times New Roman" w:hAnsi="Times New Roman"/>
          <w:sz w:val="24"/>
          <w:szCs w:val="24"/>
          <w:lang w:val="en-ID"/>
        </w:rPr>
        <w:instrText>ADDIN CSL_CITATION {"citationItems":[{"id":"ITEM-1","itemData":{"ISBN":"9781544371856","author":[{"dropping-particle":"","family":"Miles","given":"Matthew B","non-dropping-particle":"","parse-names":false,"suffix":""},{"dropping-particle":"","family":"Huberman","given":"Michael A","non-dropping-particle":"","parse-names":false,"suffix":""},{"dropping-particle":"","family":"Saldana","given":"Johnny","non-dropping-particle":"","parse-names":false,"suffix":""}],"id":"ITEM-1","issued":{"date-parts":[["2020"]]},"publisher":"SAGE","publisher-place":"California","title":"Qualitative data analysis: A methods sourcebook","type":"book"},"uris":["http://www.mendeley.com/documents/?uuid=7e1dbbaa-8d5f-3e17-a972-b1ada54a426d"]}],"mendeley":{"formattedCitation":"(Miles et al., 2020)","manualFormatting":"Miles et al. (2020)","plainTextFormattedCitation":"(Miles et al., 2020)","previouslyFormattedCitation":"(Miles et al., 2020)"},"properties":{"noteIndex":0},"schema":"https://github.com/citation-style-language/schema/raw/master/csl-citation.json"}</w:instrText>
      </w:r>
      <w:r w:rsidR="00AA099C">
        <w:rPr>
          <w:rFonts w:ascii="Times New Roman" w:eastAsia="Times New Roman" w:hAnsi="Times New Roman"/>
          <w:sz w:val="24"/>
          <w:szCs w:val="24"/>
          <w:lang w:val="en-ID"/>
        </w:rPr>
        <w:fldChar w:fldCharType="separate"/>
      </w:r>
      <w:r w:rsidR="00AA099C" w:rsidRPr="00AA099C">
        <w:rPr>
          <w:rFonts w:ascii="Times New Roman" w:eastAsia="Times New Roman" w:hAnsi="Times New Roman"/>
          <w:sz w:val="24"/>
          <w:szCs w:val="24"/>
          <w:lang w:val="en-ID"/>
        </w:rPr>
        <w:t xml:space="preserve">Miles et al. </w:t>
      </w:r>
      <w:r w:rsidR="00AA099C">
        <w:rPr>
          <w:rFonts w:ascii="Times New Roman" w:eastAsia="Times New Roman" w:hAnsi="Times New Roman"/>
          <w:sz w:val="24"/>
          <w:szCs w:val="24"/>
          <w:lang w:val="en-ID"/>
        </w:rPr>
        <w:t>(</w:t>
      </w:r>
      <w:r w:rsidR="00AA099C" w:rsidRPr="00AA099C">
        <w:rPr>
          <w:rFonts w:ascii="Times New Roman" w:eastAsia="Times New Roman" w:hAnsi="Times New Roman"/>
          <w:sz w:val="24"/>
          <w:szCs w:val="24"/>
          <w:lang w:val="en-ID"/>
        </w:rPr>
        <w:t>2020)</w:t>
      </w:r>
      <w:r w:rsidR="00AA099C">
        <w:rPr>
          <w:rFonts w:ascii="Times New Roman" w:eastAsia="Times New Roman" w:hAnsi="Times New Roman"/>
          <w:sz w:val="24"/>
          <w:szCs w:val="24"/>
          <w:lang w:val="en-ID"/>
        </w:rPr>
        <w:fldChar w:fldCharType="end"/>
      </w:r>
      <w:r w:rsidRPr="00FB7B23">
        <w:rPr>
          <w:rFonts w:ascii="Times New Roman" w:eastAsia="Times New Roman" w:hAnsi="Times New Roman"/>
          <w:sz w:val="24"/>
          <w:szCs w:val="24"/>
          <w:lang w:val="en-ID"/>
        </w:rPr>
        <w:t xml:space="preserve">, a sequence widely adopted in literature-based educational research for its capacity to move systematically from a large body of source material toward a coherent thematic synthesis. The process began with the collection and selection of literature relevant to the four research objectives stated in the Introduction. This was followed by thematic condensation of the selected sources according to the predetermined </w:t>
      </w:r>
      <w:r w:rsidRPr="00FB7B23">
        <w:rPr>
          <w:rFonts w:ascii="Times New Roman" w:eastAsia="Times New Roman" w:hAnsi="Times New Roman"/>
          <w:sz w:val="24"/>
          <w:szCs w:val="24"/>
          <w:lang w:val="en-ID"/>
        </w:rPr>
        <w:lastRenderedPageBreak/>
        <w:t>themes of concept and principle, curricular alignment, instructional urgency, and implementation challenge, after which the condensed findings were synthesized into the comprehensive conclusions and recommendations presented in the final sections of this article.</w:t>
      </w:r>
    </w:p>
    <w:p w14:paraId="5E010608" w14:textId="77777777" w:rsidR="00FB7B23" w:rsidRPr="00FB7B23" w:rsidRDefault="00FB7B23" w:rsidP="00FB7B23">
      <w:pPr>
        <w:spacing w:line="276" w:lineRule="auto"/>
        <w:ind w:firstLine="567"/>
        <w:jc w:val="both"/>
        <w:rPr>
          <w:rFonts w:ascii="Times New Roman" w:eastAsia="Times New Roman" w:hAnsi="Times New Roman"/>
          <w:sz w:val="24"/>
          <w:szCs w:val="24"/>
          <w:lang w:val="en-ID"/>
        </w:rPr>
      </w:pPr>
      <w:r w:rsidRPr="00FB7B23">
        <w:rPr>
          <w:rFonts w:ascii="Times New Roman" w:eastAsia="Times New Roman" w:hAnsi="Times New Roman"/>
          <w:sz w:val="24"/>
          <w:szCs w:val="24"/>
          <w:lang w:val="en-ID"/>
        </w:rPr>
        <w:t>Validity of the conceptual claims advanced in this review was maintained through source triangulation, meaning that each major conceptual claim is supported by a minimum of three independent sources wherever the literature permits, allowing convergent evidence rather than a single study to anchor the argument. Where fewer than three sources were available for a given claim, most notably for claims specific to the Indonesian secondary-writing context, this limitation is acknowledged explicitly in the relevant section rather than concealed behind an inflated citation count.</w:t>
      </w:r>
    </w:p>
    <w:p w14:paraId="40B544D0" w14:textId="01419F6B" w:rsidR="00F776C1" w:rsidRPr="00CB0F37" w:rsidRDefault="0081190E" w:rsidP="004D262C">
      <w:pPr>
        <w:spacing w:before="240" w:after="160" w:line="259" w:lineRule="auto"/>
        <w:jc w:val="left"/>
        <w:rPr>
          <w:rFonts w:ascii="Times New Roman" w:hAnsi="Times New Roman"/>
          <w:b/>
          <w:bCs/>
          <w:sz w:val="24"/>
          <w:szCs w:val="24"/>
          <w:lang w:val="id-ID"/>
        </w:rPr>
      </w:pPr>
      <w:r w:rsidRPr="00CB0F37">
        <w:rPr>
          <w:rFonts w:ascii="Times New Roman" w:hAnsi="Times New Roman"/>
          <w:b/>
          <w:bCs/>
          <w:sz w:val="24"/>
          <w:szCs w:val="24"/>
          <w:lang w:val="id-ID"/>
        </w:rPr>
        <w:t>RESULT AND DISCUSSION</w:t>
      </w:r>
    </w:p>
    <w:p w14:paraId="7921A129" w14:textId="72C68675" w:rsidR="008A18E6" w:rsidRPr="008A18E6" w:rsidRDefault="00FB7B23" w:rsidP="00FB7B23">
      <w:pPr>
        <w:spacing w:before="240" w:line="276" w:lineRule="auto"/>
        <w:jc w:val="both"/>
        <w:rPr>
          <w:rFonts w:ascii="Times New Roman" w:eastAsia="Times New Roman" w:hAnsi="Times New Roman"/>
          <w:b/>
          <w:sz w:val="24"/>
          <w:szCs w:val="24"/>
        </w:rPr>
      </w:pPr>
      <w:r w:rsidRPr="00FB7B23">
        <w:rPr>
          <w:rFonts w:ascii="Times New Roman" w:eastAsia="Times New Roman" w:hAnsi="Times New Roman"/>
          <w:b/>
          <w:sz w:val="24"/>
          <w:szCs w:val="24"/>
        </w:rPr>
        <w:t>Digital Portfolios as a Response to the Cognitive Demands of Writing</w:t>
      </w:r>
    </w:p>
    <w:p w14:paraId="3E95717B" w14:textId="5FC5A995" w:rsidR="00FB7B23" w:rsidRDefault="00FB7B23" w:rsidP="009170C4">
      <w:pPr>
        <w:spacing w:line="276" w:lineRule="auto"/>
        <w:ind w:firstLine="567"/>
        <w:jc w:val="both"/>
        <w:rPr>
          <w:rFonts w:ascii="Times New Roman" w:eastAsia="Times New Roman" w:hAnsi="Times New Roman"/>
          <w:sz w:val="24"/>
          <w:szCs w:val="24"/>
          <w:lang w:val="en-ID"/>
        </w:rPr>
      </w:pPr>
      <w:r w:rsidRPr="00FB7B23">
        <w:rPr>
          <w:rFonts w:ascii="Times New Roman" w:eastAsia="Times New Roman" w:hAnsi="Times New Roman"/>
          <w:sz w:val="24"/>
          <w:szCs w:val="24"/>
          <w:lang w:val="en-ID"/>
        </w:rPr>
        <w:t xml:space="preserve">With the conceptual and methodological groundwork in place, this section synthesizes what the literature indicates about digital portfolio assessment's cognitive rationale, practical implementation, and standing relative to earlier research. Writing places exceptional cognitive demands on learners because it requires the simultaneous management of planning, drafting, monitoring, and revising rather than the execution of a single linear task. </w:t>
      </w:r>
      <w:r w:rsidR="00AA099C">
        <w:rPr>
          <w:rFonts w:ascii="Times New Roman" w:eastAsia="Times New Roman" w:hAnsi="Times New Roman"/>
          <w:sz w:val="24"/>
          <w:szCs w:val="24"/>
          <w:lang w:val="en-ID"/>
        </w:rPr>
        <w:fldChar w:fldCharType="begin" w:fldLock="1"/>
      </w:r>
      <w:r w:rsidR="00AA099C">
        <w:rPr>
          <w:rFonts w:ascii="Times New Roman" w:eastAsia="Times New Roman" w:hAnsi="Times New Roman"/>
          <w:sz w:val="24"/>
          <w:szCs w:val="24"/>
          <w:lang w:val="en-ID"/>
        </w:rPr>
        <w:instrText>ADDIN CSL_CITATION {"citationItems":[{"id":"ITEM-1","itemData":{"DOI":"10.3389/fpsyg.2022.1036831","ISSN":"1664-1078","abstract":"This paper reports on an empirical study that examined changes in L2 writers’ perceived use of metacognitive strategies after receiving a process-genre writing instruction. Following a mixed-methods approach, this study was conducted in two intact College English classes at a university in China. Participants were 72 first-year undergraduates, with an experimental group ( n = 40) taught by the process-genre writing approach and a comparison group ( n = 32) receiving conventional writing instruction. A Likert-scale questionnaire was used to examine students’ changes in their conceptualized metacognitive strategies. Think-aloud protocols were conducted to gain an in-depth understanding of students’ application of metacognitive strategies and genre knowledge in performing writing tasks. Findings revealed that the process-genre instruction had a significantly positive impact on the “considering the audience” factor, and students’ conception of the audience was clearer and more diversified. An in-depth analysis of the think-aloud protocols showed that the participants incorporated the acquired metacognitive strategies and genre knowledge in completing writing tasks, with more pre-task planning time focused on both global and local aspects. Students’ metacognitive monitoring also shifted from surface-level lexical and grammar regulation to discourse-level text control.","author":[{"dropping-particle":"","family":"Huang","given":"Yu","non-dropping-particle":"","parse-names":false,"suffix":""},{"dropping-particle":"","family":"Zhang","given":"Lawrence Jun","non-dropping-particle":"","parse-names":false,"suffix":""}],"container-title":"Frontiers in Psychology","id":"ITEM-1","issued":{"date-parts":[["2022","11","15"]]},"title":"Facilitating L2 writers’ metacognitive strategy use in argumentative writing using a process-genre approach","type":"article-journal","volume":"13"},"uris":["http://www.mendeley.com/documents/?uuid=388ff36e-489f-4f13-9400-7daa8e219d42"]}],"mendeley":{"formattedCitation":"(Huang &amp; Zhang, 2022)","manualFormatting":"Huang and Zhang (2022)","plainTextFormattedCitation":"(Huang &amp; Zhang, 2022)","previouslyFormattedCitation":"(Huang &amp; Zhang, 2022)"},"properties":{"noteIndex":0},"schema":"https://github.com/citation-style-language/schema/raw/master/csl-citation.json"}</w:instrText>
      </w:r>
      <w:r w:rsidR="00AA099C">
        <w:rPr>
          <w:rFonts w:ascii="Times New Roman" w:eastAsia="Times New Roman" w:hAnsi="Times New Roman"/>
          <w:sz w:val="24"/>
          <w:szCs w:val="24"/>
          <w:lang w:val="en-ID"/>
        </w:rPr>
        <w:fldChar w:fldCharType="separate"/>
      </w:r>
      <w:r w:rsidR="00AA099C" w:rsidRPr="00AA099C">
        <w:rPr>
          <w:rFonts w:ascii="Times New Roman" w:eastAsia="Times New Roman" w:hAnsi="Times New Roman"/>
          <w:sz w:val="24"/>
          <w:szCs w:val="24"/>
          <w:lang w:val="en-ID"/>
        </w:rPr>
        <w:t xml:space="preserve">Huang </w:t>
      </w:r>
      <w:r w:rsidR="00AA099C">
        <w:rPr>
          <w:rFonts w:ascii="Times New Roman" w:eastAsia="Times New Roman" w:hAnsi="Times New Roman"/>
          <w:sz w:val="24"/>
          <w:szCs w:val="24"/>
          <w:lang w:val="en-ID"/>
        </w:rPr>
        <w:t>and</w:t>
      </w:r>
      <w:r w:rsidR="00AA099C" w:rsidRPr="00AA099C">
        <w:rPr>
          <w:rFonts w:ascii="Times New Roman" w:eastAsia="Times New Roman" w:hAnsi="Times New Roman"/>
          <w:sz w:val="24"/>
          <w:szCs w:val="24"/>
          <w:lang w:val="en-ID"/>
        </w:rPr>
        <w:t xml:space="preserve"> Zhang </w:t>
      </w:r>
      <w:r w:rsidR="00AA099C">
        <w:rPr>
          <w:rFonts w:ascii="Times New Roman" w:eastAsia="Times New Roman" w:hAnsi="Times New Roman"/>
          <w:sz w:val="24"/>
          <w:szCs w:val="24"/>
          <w:lang w:val="en-ID"/>
        </w:rPr>
        <w:t>(</w:t>
      </w:r>
      <w:r w:rsidR="00AA099C" w:rsidRPr="00AA099C">
        <w:rPr>
          <w:rFonts w:ascii="Times New Roman" w:eastAsia="Times New Roman" w:hAnsi="Times New Roman"/>
          <w:sz w:val="24"/>
          <w:szCs w:val="24"/>
          <w:lang w:val="en-ID"/>
        </w:rPr>
        <w:t>2022)</w:t>
      </w:r>
      <w:r w:rsidR="00AA099C">
        <w:rPr>
          <w:rFonts w:ascii="Times New Roman" w:eastAsia="Times New Roman" w:hAnsi="Times New Roman"/>
          <w:sz w:val="24"/>
          <w:szCs w:val="24"/>
          <w:lang w:val="en-ID"/>
        </w:rPr>
        <w:fldChar w:fldCharType="end"/>
      </w:r>
      <w:r w:rsidR="00AA099C">
        <w:rPr>
          <w:rFonts w:ascii="Times New Roman" w:eastAsia="Times New Roman" w:hAnsi="Times New Roman"/>
          <w:sz w:val="24"/>
          <w:szCs w:val="24"/>
          <w:lang w:val="en-ID"/>
        </w:rPr>
        <w:t xml:space="preserve"> </w:t>
      </w:r>
      <w:r w:rsidRPr="00FB7B23">
        <w:rPr>
          <w:rFonts w:ascii="Times New Roman" w:eastAsia="Times New Roman" w:hAnsi="Times New Roman"/>
          <w:sz w:val="24"/>
          <w:szCs w:val="24"/>
          <w:lang w:val="en-ID"/>
        </w:rPr>
        <w:t>demonstrate empirically that explicit instructional support for this recursive process measurably strengthens learners' metacognitive engagement, particularly their awareness of audience and purpose, two capacities that conventional, single-submission assessment has little means of capturing. This finding clarifies why digital portfolio assessment is uniquely suited to writing instruction specifically, more so than to other language skills: a portfolio is structurally built to hold successive drafts, making visible the very monitoring and revision behavior that determines writing quality but that a one-off test obscures.</w:t>
      </w:r>
      <w:r w:rsidR="009170C4">
        <w:rPr>
          <w:rFonts w:ascii="Times New Roman" w:eastAsia="Times New Roman" w:hAnsi="Times New Roman"/>
          <w:sz w:val="24"/>
          <w:szCs w:val="24"/>
          <w:lang w:val="en-ID"/>
        </w:rPr>
        <w:t xml:space="preserve"> </w:t>
      </w:r>
      <w:r w:rsidRPr="00FB7B23">
        <w:rPr>
          <w:rFonts w:ascii="Times New Roman" w:eastAsia="Times New Roman" w:hAnsi="Times New Roman"/>
          <w:sz w:val="24"/>
          <w:szCs w:val="24"/>
          <w:lang w:val="en-ID"/>
        </w:rPr>
        <w:t>Table 1 below presents a comparison between conventional and digital portfolios, summarizing the evolution and advantages of the digital format.</w:t>
      </w:r>
    </w:p>
    <w:p w14:paraId="2D48F5DD" w14:textId="6F7649B8" w:rsidR="009170C4" w:rsidRPr="009170C4" w:rsidRDefault="009170C4" w:rsidP="009170C4">
      <w:pPr>
        <w:pStyle w:val="Caption"/>
        <w:keepNext/>
        <w:spacing w:before="240"/>
        <w:rPr>
          <w:rFonts w:ascii="Times New Roman" w:hAnsi="Times New Roman"/>
          <w:i w:val="0"/>
          <w:iCs w:val="0"/>
          <w:color w:val="auto"/>
          <w:sz w:val="22"/>
          <w:szCs w:val="22"/>
        </w:rPr>
      </w:pPr>
      <w:r w:rsidRPr="009170C4">
        <w:rPr>
          <w:rFonts w:ascii="Times New Roman" w:hAnsi="Times New Roman"/>
          <w:b/>
          <w:bCs/>
          <w:i w:val="0"/>
          <w:iCs w:val="0"/>
          <w:color w:val="auto"/>
          <w:sz w:val="22"/>
          <w:szCs w:val="22"/>
        </w:rPr>
        <w:t xml:space="preserve">Table </w:t>
      </w:r>
      <w:r w:rsidRPr="009170C4">
        <w:rPr>
          <w:rFonts w:ascii="Times New Roman" w:hAnsi="Times New Roman"/>
          <w:b/>
          <w:bCs/>
          <w:i w:val="0"/>
          <w:iCs w:val="0"/>
          <w:color w:val="auto"/>
          <w:sz w:val="22"/>
          <w:szCs w:val="22"/>
        </w:rPr>
        <w:fldChar w:fldCharType="begin"/>
      </w:r>
      <w:r w:rsidRPr="009170C4">
        <w:rPr>
          <w:rFonts w:ascii="Times New Roman" w:hAnsi="Times New Roman"/>
          <w:b/>
          <w:bCs/>
          <w:i w:val="0"/>
          <w:iCs w:val="0"/>
          <w:color w:val="auto"/>
          <w:sz w:val="22"/>
          <w:szCs w:val="22"/>
        </w:rPr>
        <w:instrText xml:space="preserve"> SEQ Table \* ARABIC </w:instrText>
      </w:r>
      <w:r w:rsidRPr="009170C4">
        <w:rPr>
          <w:rFonts w:ascii="Times New Roman" w:hAnsi="Times New Roman"/>
          <w:b/>
          <w:bCs/>
          <w:i w:val="0"/>
          <w:iCs w:val="0"/>
          <w:color w:val="auto"/>
          <w:sz w:val="22"/>
          <w:szCs w:val="22"/>
        </w:rPr>
        <w:fldChar w:fldCharType="separate"/>
      </w:r>
      <w:r w:rsidR="002E224D">
        <w:rPr>
          <w:rFonts w:ascii="Times New Roman" w:hAnsi="Times New Roman"/>
          <w:b/>
          <w:bCs/>
          <w:i w:val="0"/>
          <w:iCs w:val="0"/>
          <w:color w:val="auto"/>
          <w:sz w:val="22"/>
          <w:szCs w:val="22"/>
        </w:rPr>
        <w:t>1</w:t>
      </w:r>
      <w:r w:rsidRPr="009170C4">
        <w:rPr>
          <w:rFonts w:ascii="Times New Roman" w:hAnsi="Times New Roman"/>
          <w:b/>
          <w:bCs/>
          <w:i w:val="0"/>
          <w:iCs w:val="0"/>
          <w:color w:val="auto"/>
          <w:sz w:val="22"/>
          <w:szCs w:val="22"/>
        </w:rPr>
        <w:fldChar w:fldCharType="end"/>
      </w:r>
      <w:r w:rsidRPr="009170C4">
        <w:rPr>
          <w:rFonts w:ascii="Times New Roman" w:hAnsi="Times New Roman"/>
          <w:b/>
          <w:bCs/>
          <w:i w:val="0"/>
          <w:iCs w:val="0"/>
          <w:color w:val="auto"/>
          <w:sz w:val="22"/>
          <w:szCs w:val="22"/>
          <w:lang w:val="en-ID"/>
        </w:rPr>
        <w:t xml:space="preserve"> </w:t>
      </w:r>
      <w:r w:rsidRPr="009170C4">
        <w:rPr>
          <w:rFonts w:ascii="Times New Roman" w:hAnsi="Times New Roman"/>
          <w:i w:val="0"/>
          <w:iCs w:val="0"/>
          <w:color w:val="auto"/>
          <w:sz w:val="22"/>
          <w:szCs w:val="22"/>
          <w:lang w:val="en-ID"/>
        </w:rPr>
        <w:t>Comparison Between Conventional and Digital Portfolios</w:t>
      </w:r>
    </w:p>
    <w:tbl>
      <w:tblPr>
        <w:tblStyle w:val="TableGrid"/>
        <w:tblW w:w="0" w:type="auto"/>
        <w:jc w:val="center"/>
        <w:tblLook w:val="04A0" w:firstRow="1" w:lastRow="0" w:firstColumn="1" w:lastColumn="0" w:noHBand="0" w:noVBand="1"/>
      </w:tblPr>
      <w:tblGrid>
        <w:gridCol w:w="485"/>
        <w:gridCol w:w="3354"/>
        <w:gridCol w:w="4088"/>
      </w:tblGrid>
      <w:tr w:rsidR="009170C4" w:rsidRPr="009170C4" w14:paraId="56E45935" w14:textId="77777777" w:rsidTr="009170C4">
        <w:trPr>
          <w:tblHeader/>
          <w:jc w:val="center"/>
        </w:trPr>
        <w:tc>
          <w:tcPr>
            <w:tcW w:w="0" w:type="auto"/>
            <w:vAlign w:val="center"/>
          </w:tcPr>
          <w:p w14:paraId="16447572" w14:textId="447BA73F" w:rsidR="009170C4" w:rsidRPr="009170C4" w:rsidRDefault="009170C4" w:rsidP="009170C4">
            <w:pPr>
              <w:spacing w:line="276" w:lineRule="auto"/>
              <w:rPr>
                <w:rFonts w:ascii="Times New Roman" w:eastAsia="Times New Roman" w:hAnsi="Times New Roman"/>
                <w:b/>
                <w:bCs/>
                <w:sz w:val="22"/>
                <w:szCs w:val="32"/>
                <w:lang w:val="en-ID"/>
              </w:rPr>
            </w:pPr>
            <w:r w:rsidRPr="009170C4">
              <w:rPr>
                <w:rFonts w:ascii="Times New Roman" w:hAnsi="Times New Roman"/>
                <w:b/>
                <w:bCs/>
                <w:sz w:val="22"/>
                <w:szCs w:val="32"/>
              </w:rPr>
              <w:t>No</w:t>
            </w:r>
          </w:p>
        </w:tc>
        <w:tc>
          <w:tcPr>
            <w:tcW w:w="0" w:type="auto"/>
            <w:vAlign w:val="center"/>
          </w:tcPr>
          <w:p w14:paraId="5B5A5760" w14:textId="56CBE876" w:rsidR="009170C4" w:rsidRPr="009170C4" w:rsidRDefault="009170C4" w:rsidP="009170C4">
            <w:pPr>
              <w:spacing w:line="276" w:lineRule="auto"/>
              <w:rPr>
                <w:rFonts w:ascii="Times New Roman" w:eastAsia="Times New Roman" w:hAnsi="Times New Roman"/>
                <w:b/>
                <w:bCs/>
                <w:sz w:val="22"/>
                <w:szCs w:val="32"/>
                <w:lang w:val="en-ID"/>
              </w:rPr>
            </w:pPr>
            <w:r w:rsidRPr="009170C4">
              <w:rPr>
                <w:rFonts w:ascii="Times New Roman" w:hAnsi="Times New Roman"/>
                <w:b/>
                <w:bCs/>
                <w:sz w:val="22"/>
                <w:szCs w:val="32"/>
              </w:rPr>
              <w:t>Conventional Portfolio</w:t>
            </w:r>
          </w:p>
        </w:tc>
        <w:tc>
          <w:tcPr>
            <w:tcW w:w="0" w:type="auto"/>
            <w:vAlign w:val="center"/>
          </w:tcPr>
          <w:p w14:paraId="33D6EA39" w14:textId="67A1E921" w:rsidR="009170C4" w:rsidRPr="009170C4" w:rsidRDefault="009170C4" w:rsidP="009170C4">
            <w:pPr>
              <w:spacing w:line="276" w:lineRule="auto"/>
              <w:rPr>
                <w:rFonts w:ascii="Times New Roman" w:eastAsia="Times New Roman" w:hAnsi="Times New Roman"/>
                <w:b/>
                <w:bCs/>
                <w:sz w:val="22"/>
                <w:szCs w:val="32"/>
                <w:lang w:val="en-ID"/>
              </w:rPr>
            </w:pPr>
            <w:r w:rsidRPr="009170C4">
              <w:rPr>
                <w:rFonts w:ascii="Times New Roman" w:hAnsi="Times New Roman"/>
                <w:b/>
                <w:bCs/>
                <w:sz w:val="22"/>
                <w:szCs w:val="32"/>
              </w:rPr>
              <w:t>Digital Portfolio</w:t>
            </w:r>
          </w:p>
        </w:tc>
      </w:tr>
      <w:tr w:rsidR="009170C4" w:rsidRPr="009170C4" w14:paraId="38A1779A" w14:textId="77777777" w:rsidTr="009170C4">
        <w:trPr>
          <w:jc w:val="center"/>
        </w:trPr>
        <w:tc>
          <w:tcPr>
            <w:tcW w:w="0" w:type="auto"/>
            <w:vAlign w:val="center"/>
          </w:tcPr>
          <w:p w14:paraId="59758D0B" w14:textId="49799744" w:rsidR="009170C4" w:rsidRPr="009170C4" w:rsidRDefault="009170C4" w:rsidP="009170C4">
            <w:pPr>
              <w:spacing w:line="276" w:lineRule="auto"/>
              <w:rPr>
                <w:rFonts w:ascii="Times New Roman" w:eastAsia="Times New Roman" w:hAnsi="Times New Roman"/>
                <w:sz w:val="22"/>
                <w:szCs w:val="32"/>
                <w:lang w:val="en-ID"/>
              </w:rPr>
            </w:pPr>
            <w:r w:rsidRPr="009170C4">
              <w:rPr>
                <w:rFonts w:ascii="Times New Roman" w:hAnsi="Times New Roman"/>
                <w:sz w:val="22"/>
                <w:szCs w:val="32"/>
              </w:rPr>
              <w:t>1</w:t>
            </w:r>
          </w:p>
        </w:tc>
        <w:tc>
          <w:tcPr>
            <w:tcW w:w="0" w:type="auto"/>
            <w:vAlign w:val="center"/>
          </w:tcPr>
          <w:p w14:paraId="0DB0D683" w14:textId="58ACE458" w:rsidR="009170C4" w:rsidRPr="009170C4" w:rsidRDefault="009170C4" w:rsidP="009170C4">
            <w:pPr>
              <w:spacing w:line="276" w:lineRule="auto"/>
              <w:rPr>
                <w:rFonts w:ascii="Times New Roman" w:eastAsia="Times New Roman" w:hAnsi="Times New Roman"/>
                <w:sz w:val="22"/>
                <w:szCs w:val="32"/>
                <w:lang w:val="en-ID"/>
              </w:rPr>
            </w:pPr>
            <w:r w:rsidRPr="009170C4">
              <w:rPr>
                <w:rFonts w:ascii="Times New Roman" w:hAnsi="Times New Roman"/>
                <w:sz w:val="22"/>
                <w:szCs w:val="32"/>
              </w:rPr>
              <w:t>Paper-based, susceptible to damage and loss</w:t>
            </w:r>
          </w:p>
        </w:tc>
        <w:tc>
          <w:tcPr>
            <w:tcW w:w="0" w:type="auto"/>
            <w:vAlign w:val="center"/>
          </w:tcPr>
          <w:p w14:paraId="54220833" w14:textId="7BC0D93C" w:rsidR="009170C4" w:rsidRPr="009170C4" w:rsidRDefault="009170C4" w:rsidP="009170C4">
            <w:pPr>
              <w:spacing w:line="276" w:lineRule="auto"/>
              <w:rPr>
                <w:rFonts w:ascii="Times New Roman" w:eastAsia="Times New Roman" w:hAnsi="Times New Roman"/>
                <w:sz w:val="22"/>
                <w:szCs w:val="32"/>
                <w:lang w:val="en-ID"/>
              </w:rPr>
            </w:pPr>
            <w:r w:rsidRPr="009170C4">
              <w:rPr>
                <w:rFonts w:ascii="Times New Roman" w:hAnsi="Times New Roman"/>
                <w:sz w:val="22"/>
                <w:szCs w:val="32"/>
              </w:rPr>
              <w:t>Digital platform-based, securely stored in the cloud</w:t>
            </w:r>
          </w:p>
        </w:tc>
      </w:tr>
      <w:tr w:rsidR="009170C4" w:rsidRPr="009170C4" w14:paraId="0B8A3250" w14:textId="77777777" w:rsidTr="009170C4">
        <w:trPr>
          <w:jc w:val="center"/>
        </w:trPr>
        <w:tc>
          <w:tcPr>
            <w:tcW w:w="0" w:type="auto"/>
            <w:vAlign w:val="center"/>
          </w:tcPr>
          <w:p w14:paraId="25761814" w14:textId="305AC7C3" w:rsidR="009170C4" w:rsidRPr="009170C4" w:rsidRDefault="009170C4" w:rsidP="009170C4">
            <w:pPr>
              <w:spacing w:line="276" w:lineRule="auto"/>
              <w:rPr>
                <w:rFonts w:ascii="Times New Roman" w:eastAsia="Times New Roman" w:hAnsi="Times New Roman"/>
                <w:sz w:val="22"/>
                <w:szCs w:val="32"/>
                <w:lang w:val="en-ID"/>
              </w:rPr>
            </w:pPr>
            <w:r w:rsidRPr="009170C4">
              <w:rPr>
                <w:rFonts w:ascii="Times New Roman" w:hAnsi="Times New Roman"/>
                <w:sz w:val="22"/>
                <w:szCs w:val="32"/>
              </w:rPr>
              <w:t>2</w:t>
            </w:r>
          </w:p>
        </w:tc>
        <w:tc>
          <w:tcPr>
            <w:tcW w:w="0" w:type="auto"/>
            <w:vAlign w:val="center"/>
          </w:tcPr>
          <w:p w14:paraId="3E867588" w14:textId="25AE4C26" w:rsidR="009170C4" w:rsidRPr="009170C4" w:rsidRDefault="009170C4" w:rsidP="009170C4">
            <w:pPr>
              <w:spacing w:line="276" w:lineRule="auto"/>
              <w:rPr>
                <w:rFonts w:ascii="Times New Roman" w:eastAsia="Times New Roman" w:hAnsi="Times New Roman"/>
                <w:sz w:val="22"/>
                <w:szCs w:val="32"/>
                <w:lang w:val="en-ID"/>
              </w:rPr>
            </w:pPr>
            <w:r w:rsidRPr="009170C4">
              <w:rPr>
                <w:rFonts w:ascii="Times New Roman" w:hAnsi="Times New Roman"/>
                <w:sz w:val="22"/>
                <w:szCs w:val="32"/>
              </w:rPr>
              <w:t>Limited access, viewable only in physical form</w:t>
            </w:r>
          </w:p>
        </w:tc>
        <w:tc>
          <w:tcPr>
            <w:tcW w:w="0" w:type="auto"/>
            <w:vAlign w:val="center"/>
          </w:tcPr>
          <w:p w14:paraId="4757BA12" w14:textId="2AAC0C26" w:rsidR="009170C4" w:rsidRPr="009170C4" w:rsidRDefault="009170C4" w:rsidP="009170C4">
            <w:pPr>
              <w:spacing w:line="276" w:lineRule="auto"/>
              <w:rPr>
                <w:rFonts w:ascii="Times New Roman" w:eastAsia="Times New Roman" w:hAnsi="Times New Roman"/>
                <w:sz w:val="22"/>
                <w:szCs w:val="32"/>
                <w:lang w:val="en-ID"/>
              </w:rPr>
            </w:pPr>
            <w:r w:rsidRPr="009170C4">
              <w:rPr>
                <w:rFonts w:ascii="Times New Roman" w:hAnsi="Times New Roman"/>
                <w:sz w:val="22"/>
                <w:szCs w:val="32"/>
              </w:rPr>
              <w:t>Accessible anytime and anywhere through digital devices</w:t>
            </w:r>
          </w:p>
        </w:tc>
      </w:tr>
      <w:tr w:rsidR="009170C4" w:rsidRPr="009170C4" w14:paraId="160FEB0C" w14:textId="77777777" w:rsidTr="009170C4">
        <w:trPr>
          <w:jc w:val="center"/>
        </w:trPr>
        <w:tc>
          <w:tcPr>
            <w:tcW w:w="0" w:type="auto"/>
            <w:vAlign w:val="center"/>
          </w:tcPr>
          <w:p w14:paraId="4FB8DE82" w14:textId="255AC614" w:rsidR="009170C4" w:rsidRPr="009170C4" w:rsidRDefault="009170C4" w:rsidP="009170C4">
            <w:pPr>
              <w:spacing w:line="276" w:lineRule="auto"/>
              <w:rPr>
                <w:rFonts w:ascii="Times New Roman" w:eastAsia="Times New Roman" w:hAnsi="Times New Roman"/>
                <w:sz w:val="22"/>
                <w:szCs w:val="32"/>
                <w:lang w:val="en-ID"/>
              </w:rPr>
            </w:pPr>
            <w:r w:rsidRPr="009170C4">
              <w:rPr>
                <w:rFonts w:ascii="Times New Roman" w:hAnsi="Times New Roman"/>
                <w:sz w:val="22"/>
                <w:szCs w:val="32"/>
              </w:rPr>
              <w:t>3</w:t>
            </w:r>
          </w:p>
        </w:tc>
        <w:tc>
          <w:tcPr>
            <w:tcW w:w="0" w:type="auto"/>
            <w:vAlign w:val="center"/>
          </w:tcPr>
          <w:p w14:paraId="023D0AF4" w14:textId="266DB08E" w:rsidR="009170C4" w:rsidRPr="009170C4" w:rsidRDefault="009170C4" w:rsidP="009170C4">
            <w:pPr>
              <w:spacing w:line="276" w:lineRule="auto"/>
              <w:rPr>
                <w:rFonts w:ascii="Times New Roman" w:eastAsia="Times New Roman" w:hAnsi="Times New Roman"/>
                <w:sz w:val="22"/>
                <w:szCs w:val="32"/>
                <w:lang w:val="en-ID"/>
              </w:rPr>
            </w:pPr>
            <w:r w:rsidRPr="009170C4">
              <w:rPr>
                <w:rFonts w:ascii="Times New Roman" w:hAnsi="Times New Roman"/>
                <w:sz w:val="22"/>
                <w:szCs w:val="32"/>
              </w:rPr>
              <w:t>Teacher feedback can only be given face-to-face</w:t>
            </w:r>
          </w:p>
        </w:tc>
        <w:tc>
          <w:tcPr>
            <w:tcW w:w="0" w:type="auto"/>
            <w:vAlign w:val="center"/>
          </w:tcPr>
          <w:p w14:paraId="7AD9F16D" w14:textId="591AEF68" w:rsidR="009170C4" w:rsidRPr="009170C4" w:rsidRDefault="009170C4" w:rsidP="009170C4">
            <w:pPr>
              <w:spacing w:line="276" w:lineRule="auto"/>
              <w:rPr>
                <w:rFonts w:ascii="Times New Roman" w:eastAsia="Times New Roman" w:hAnsi="Times New Roman"/>
                <w:sz w:val="22"/>
                <w:szCs w:val="32"/>
                <w:lang w:val="en-ID"/>
              </w:rPr>
            </w:pPr>
            <w:r w:rsidRPr="009170C4">
              <w:rPr>
                <w:rFonts w:ascii="Times New Roman" w:hAnsi="Times New Roman"/>
                <w:sz w:val="22"/>
                <w:szCs w:val="32"/>
              </w:rPr>
              <w:t>Feedback can be provided online, in real time, and is fully documented</w:t>
            </w:r>
          </w:p>
        </w:tc>
      </w:tr>
      <w:tr w:rsidR="009170C4" w:rsidRPr="009170C4" w14:paraId="4D536BA4" w14:textId="77777777" w:rsidTr="009170C4">
        <w:trPr>
          <w:jc w:val="center"/>
        </w:trPr>
        <w:tc>
          <w:tcPr>
            <w:tcW w:w="0" w:type="auto"/>
            <w:vAlign w:val="center"/>
          </w:tcPr>
          <w:p w14:paraId="7BB8ECEB" w14:textId="795F4EFB" w:rsidR="009170C4" w:rsidRPr="009170C4" w:rsidRDefault="009170C4" w:rsidP="009170C4">
            <w:pPr>
              <w:spacing w:line="276" w:lineRule="auto"/>
              <w:rPr>
                <w:rFonts w:ascii="Times New Roman" w:eastAsia="Times New Roman" w:hAnsi="Times New Roman"/>
                <w:sz w:val="22"/>
                <w:szCs w:val="32"/>
                <w:lang w:val="en-ID"/>
              </w:rPr>
            </w:pPr>
            <w:r w:rsidRPr="009170C4">
              <w:rPr>
                <w:rFonts w:ascii="Times New Roman" w:hAnsi="Times New Roman"/>
                <w:sz w:val="22"/>
                <w:szCs w:val="32"/>
              </w:rPr>
              <w:t>4</w:t>
            </w:r>
          </w:p>
        </w:tc>
        <w:tc>
          <w:tcPr>
            <w:tcW w:w="0" w:type="auto"/>
            <w:vAlign w:val="center"/>
          </w:tcPr>
          <w:p w14:paraId="0065F11B" w14:textId="5865EA18" w:rsidR="009170C4" w:rsidRPr="009170C4" w:rsidRDefault="009170C4" w:rsidP="009170C4">
            <w:pPr>
              <w:spacing w:line="276" w:lineRule="auto"/>
              <w:rPr>
                <w:rFonts w:ascii="Times New Roman" w:eastAsia="Times New Roman" w:hAnsi="Times New Roman"/>
                <w:sz w:val="22"/>
                <w:szCs w:val="32"/>
                <w:lang w:val="en-ID"/>
              </w:rPr>
            </w:pPr>
            <w:r w:rsidRPr="009170C4">
              <w:rPr>
                <w:rFonts w:ascii="Times New Roman" w:hAnsi="Times New Roman"/>
                <w:sz w:val="22"/>
                <w:szCs w:val="32"/>
              </w:rPr>
              <w:t>Collaboration between students is difficult to carry out</w:t>
            </w:r>
          </w:p>
        </w:tc>
        <w:tc>
          <w:tcPr>
            <w:tcW w:w="0" w:type="auto"/>
            <w:vAlign w:val="center"/>
          </w:tcPr>
          <w:p w14:paraId="61DF447D" w14:textId="58D27EBF" w:rsidR="009170C4" w:rsidRPr="009170C4" w:rsidRDefault="009170C4" w:rsidP="009170C4">
            <w:pPr>
              <w:spacing w:line="276" w:lineRule="auto"/>
              <w:rPr>
                <w:rFonts w:ascii="Times New Roman" w:eastAsia="Times New Roman" w:hAnsi="Times New Roman"/>
                <w:sz w:val="22"/>
                <w:szCs w:val="32"/>
                <w:lang w:val="en-ID"/>
              </w:rPr>
            </w:pPr>
            <w:r w:rsidRPr="009170C4">
              <w:rPr>
                <w:rFonts w:ascii="Times New Roman" w:hAnsi="Times New Roman"/>
                <w:sz w:val="22"/>
                <w:szCs w:val="32"/>
              </w:rPr>
              <w:t>Supports digital collaboration and sharing of student work</w:t>
            </w:r>
          </w:p>
        </w:tc>
      </w:tr>
      <w:tr w:rsidR="009170C4" w:rsidRPr="009170C4" w14:paraId="676A293F" w14:textId="77777777" w:rsidTr="009170C4">
        <w:trPr>
          <w:jc w:val="center"/>
        </w:trPr>
        <w:tc>
          <w:tcPr>
            <w:tcW w:w="0" w:type="auto"/>
            <w:vAlign w:val="center"/>
          </w:tcPr>
          <w:p w14:paraId="145560F3" w14:textId="1E555209" w:rsidR="009170C4" w:rsidRPr="009170C4" w:rsidRDefault="009170C4" w:rsidP="009170C4">
            <w:pPr>
              <w:spacing w:line="276" w:lineRule="auto"/>
              <w:rPr>
                <w:rFonts w:ascii="Times New Roman" w:eastAsia="Times New Roman" w:hAnsi="Times New Roman"/>
                <w:sz w:val="22"/>
                <w:szCs w:val="32"/>
                <w:lang w:val="en-ID"/>
              </w:rPr>
            </w:pPr>
            <w:r w:rsidRPr="009170C4">
              <w:rPr>
                <w:rFonts w:ascii="Times New Roman" w:hAnsi="Times New Roman"/>
                <w:sz w:val="22"/>
                <w:szCs w:val="32"/>
              </w:rPr>
              <w:lastRenderedPageBreak/>
              <w:t>5</w:t>
            </w:r>
          </w:p>
        </w:tc>
        <w:tc>
          <w:tcPr>
            <w:tcW w:w="0" w:type="auto"/>
            <w:vAlign w:val="center"/>
          </w:tcPr>
          <w:p w14:paraId="2A75131C" w14:textId="4A38E548" w:rsidR="009170C4" w:rsidRPr="009170C4" w:rsidRDefault="009170C4" w:rsidP="009170C4">
            <w:pPr>
              <w:spacing w:line="276" w:lineRule="auto"/>
              <w:rPr>
                <w:rFonts w:ascii="Times New Roman" w:eastAsia="Times New Roman" w:hAnsi="Times New Roman"/>
                <w:sz w:val="22"/>
                <w:szCs w:val="32"/>
                <w:lang w:val="en-ID"/>
              </w:rPr>
            </w:pPr>
            <w:r w:rsidRPr="009170C4">
              <w:rPr>
                <w:rFonts w:ascii="Times New Roman" w:hAnsi="Times New Roman"/>
                <w:sz w:val="22"/>
                <w:szCs w:val="32"/>
              </w:rPr>
              <w:t>Difficult to include works in audio, video, or multimedia format</w:t>
            </w:r>
          </w:p>
        </w:tc>
        <w:tc>
          <w:tcPr>
            <w:tcW w:w="0" w:type="auto"/>
            <w:vAlign w:val="center"/>
          </w:tcPr>
          <w:p w14:paraId="686AE1ED" w14:textId="03C0D5F9" w:rsidR="009170C4" w:rsidRPr="009170C4" w:rsidRDefault="009170C4" w:rsidP="009170C4">
            <w:pPr>
              <w:spacing w:line="276" w:lineRule="auto"/>
              <w:rPr>
                <w:rFonts w:ascii="Times New Roman" w:eastAsia="Times New Roman" w:hAnsi="Times New Roman"/>
                <w:sz w:val="22"/>
                <w:szCs w:val="32"/>
                <w:lang w:val="en-ID"/>
              </w:rPr>
            </w:pPr>
            <w:r w:rsidRPr="009170C4">
              <w:rPr>
                <w:rFonts w:ascii="Times New Roman" w:hAnsi="Times New Roman"/>
                <w:sz w:val="22"/>
                <w:szCs w:val="32"/>
              </w:rPr>
              <w:t>Can accommodate various formats: text, audio, video, infographics, and multimedia</w:t>
            </w:r>
          </w:p>
        </w:tc>
      </w:tr>
      <w:tr w:rsidR="009170C4" w:rsidRPr="009170C4" w14:paraId="06CB8C31" w14:textId="77777777" w:rsidTr="009170C4">
        <w:trPr>
          <w:jc w:val="center"/>
        </w:trPr>
        <w:tc>
          <w:tcPr>
            <w:tcW w:w="0" w:type="auto"/>
            <w:vAlign w:val="center"/>
          </w:tcPr>
          <w:p w14:paraId="6EBD4228" w14:textId="17DD6AA1" w:rsidR="009170C4" w:rsidRPr="009170C4" w:rsidRDefault="009170C4" w:rsidP="009170C4">
            <w:pPr>
              <w:spacing w:line="276" w:lineRule="auto"/>
              <w:rPr>
                <w:rFonts w:ascii="Times New Roman" w:eastAsia="Times New Roman" w:hAnsi="Times New Roman"/>
                <w:sz w:val="22"/>
                <w:szCs w:val="32"/>
                <w:lang w:val="en-ID"/>
              </w:rPr>
            </w:pPr>
            <w:r w:rsidRPr="009170C4">
              <w:rPr>
                <w:rFonts w:ascii="Times New Roman" w:hAnsi="Times New Roman"/>
                <w:sz w:val="22"/>
                <w:szCs w:val="32"/>
              </w:rPr>
              <w:t>6</w:t>
            </w:r>
          </w:p>
        </w:tc>
        <w:tc>
          <w:tcPr>
            <w:tcW w:w="0" w:type="auto"/>
            <w:vAlign w:val="center"/>
          </w:tcPr>
          <w:p w14:paraId="6D9FE46D" w14:textId="24506CAB" w:rsidR="009170C4" w:rsidRPr="009170C4" w:rsidRDefault="009170C4" w:rsidP="009170C4">
            <w:pPr>
              <w:spacing w:line="276" w:lineRule="auto"/>
              <w:rPr>
                <w:rFonts w:ascii="Times New Roman" w:eastAsia="Times New Roman" w:hAnsi="Times New Roman"/>
                <w:sz w:val="22"/>
                <w:szCs w:val="32"/>
                <w:lang w:val="en-ID"/>
              </w:rPr>
            </w:pPr>
            <w:r w:rsidRPr="009170C4">
              <w:rPr>
                <w:rFonts w:ascii="Times New Roman" w:hAnsi="Times New Roman"/>
                <w:sz w:val="22"/>
                <w:szCs w:val="32"/>
              </w:rPr>
              <w:t>Student reflection is written manually and inflexible</w:t>
            </w:r>
          </w:p>
        </w:tc>
        <w:tc>
          <w:tcPr>
            <w:tcW w:w="0" w:type="auto"/>
            <w:vAlign w:val="center"/>
          </w:tcPr>
          <w:p w14:paraId="2A0B1905" w14:textId="3C65AF38" w:rsidR="009170C4" w:rsidRPr="009170C4" w:rsidRDefault="009170C4" w:rsidP="009170C4">
            <w:pPr>
              <w:spacing w:line="276" w:lineRule="auto"/>
              <w:rPr>
                <w:rFonts w:ascii="Times New Roman" w:eastAsia="Times New Roman" w:hAnsi="Times New Roman"/>
                <w:sz w:val="22"/>
                <w:szCs w:val="32"/>
                <w:lang w:val="en-ID"/>
              </w:rPr>
            </w:pPr>
            <w:r w:rsidRPr="009170C4">
              <w:rPr>
                <w:rFonts w:ascii="Times New Roman" w:hAnsi="Times New Roman"/>
                <w:sz w:val="22"/>
                <w:szCs w:val="32"/>
              </w:rPr>
              <w:t>Reflection can be carried out through various media and is more expressive</w:t>
            </w:r>
          </w:p>
        </w:tc>
      </w:tr>
      <w:tr w:rsidR="009170C4" w:rsidRPr="009170C4" w14:paraId="1FE0801E" w14:textId="77777777" w:rsidTr="009170C4">
        <w:trPr>
          <w:jc w:val="center"/>
        </w:trPr>
        <w:tc>
          <w:tcPr>
            <w:tcW w:w="0" w:type="auto"/>
            <w:vAlign w:val="center"/>
          </w:tcPr>
          <w:p w14:paraId="49CDF031" w14:textId="23FFBBAE" w:rsidR="009170C4" w:rsidRPr="009170C4" w:rsidRDefault="009170C4" w:rsidP="009170C4">
            <w:pPr>
              <w:spacing w:line="276" w:lineRule="auto"/>
              <w:rPr>
                <w:rFonts w:ascii="Times New Roman" w:eastAsia="Times New Roman" w:hAnsi="Times New Roman"/>
                <w:sz w:val="22"/>
                <w:szCs w:val="32"/>
                <w:lang w:val="en-ID"/>
              </w:rPr>
            </w:pPr>
            <w:r w:rsidRPr="009170C4">
              <w:rPr>
                <w:rFonts w:ascii="Times New Roman" w:hAnsi="Times New Roman"/>
                <w:sz w:val="22"/>
                <w:szCs w:val="32"/>
              </w:rPr>
              <w:t>7</w:t>
            </w:r>
          </w:p>
        </w:tc>
        <w:tc>
          <w:tcPr>
            <w:tcW w:w="0" w:type="auto"/>
            <w:vAlign w:val="center"/>
          </w:tcPr>
          <w:p w14:paraId="7C847112" w14:textId="24CFCEDD" w:rsidR="009170C4" w:rsidRPr="009170C4" w:rsidRDefault="009170C4" w:rsidP="009170C4">
            <w:pPr>
              <w:spacing w:line="276" w:lineRule="auto"/>
              <w:rPr>
                <w:rFonts w:ascii="Times New Roman" w:eastAsia="Times New Roman" w:hAnsi="Times New Roman"/>
                <w:sz w:val="22"/>
                <w:szCs w:val="32"/>
                <w:lang w:val="en-ID"/>
              </w:rPr>
            </w:pPr>
            <w:r w:rsidRPr="009170C4">
              <w:rPr>
                <w:rFonts w:ascii="Times New Roman" w:hAnsi="Times New Roman"/>
                <w:sz w:val="22"/>
                <w:szCs w:val="32"/>
              </w:rPr>
              <w:t>Learning progress is difficult to monitor longitudinally</w:t>
            </w:r>
          </w:p>
        </w:tc>
        <w:tc>
          <w:tcPr>
            <w:tcW w:w="0" w:type="auto"/>
            <w:vAlign w:val="center"/>
          </w:tcPr>
          <w:p w14:paraId="7FF2C79B" w14:textId="533FC728" w:rsidR="009170C4" w:rsidRPr="009170C4" w:rsidRDefault="009170C4" w:rsidP="009170C4">
            <w:pPr>
              <w:spacing w:line="276" w:lineRule="auto"/>
              <w:rPr>
                <w:rFonts w:ascii="Times New Roman" w:eastAsia="Times New Roman" w:hAnsi="Times New Roman"/>
                <w:sz w:val="22"/>
                <w:szCs w:val="32"/>
                <w:lang w:val="en-ID"/>
              </w:rPr>
            </w:pPr>
            <w:r w:rsidRPr="009170C4">
              <w:rPr>
                <w:rFonts w:ascii="Times New Roman" w:hAnsi="Times New Roman"/>
                <w:sz w:val="22"/>
                <w:szCs w:val="32"/>
              </w:rPr>
              <w:t>Learning progress is automatically documented and easy to track</w:t>
            </w:r>
          </w:p>
        </w:tc>
      </w:tr>
      <w:tr w:rsidR="009170C4" w:rsidRPr="009170C4" w14:paraId="5C48D849" w14:textId="77777777" w:rsidTr="009170C4">
        <w:trPr>
          <w:jc w:val="center"/>
        </w:trPr>
        <w:tc>
          <w:tcPr>
            <w:tcW w:w="0" w:type="auto"/>
            <w:vAlign w:val="center"/>
          </w:tcPr>
          <w:p w14:paraId="029FCDA7" w14:textId="50C81F53" w:rsidR="009170C4" w:rsidRPr="009170C4" w:rsidRDefault="009170C4" w:rsidP="009170C4">
            <w:pPr>
              <w:spacing w:line="276" w:lineRule="auto"/>
              <w:rPr>
                <w:rFonts w:ascii="Times New Roman" w:eastAsia="Times New Roman" w:hAnsi="Times New Roman"/>
                <w:sz w:val="22"/>
                <w:szCs w:val="32"/>
                <w:lang w:val="en-ID"/>
              </w:rPr>
            </w:pPr>
            <w:r w:rsidRPr="009170C4">
              <w:rPr>
                <w:rFonts w:ascii="Times New Roman" w:hAnsi="Times New Roman"/>
                <w:sz w:val="22"/>
                <w:szCs w:val="32"/>
              </w:rPr>
              <w:t>8</w:t>
            </w:r>
          </w:p>
        </w:tc>
        <w:tc>
          <w:tcPr>
            <w:tcW w:w="0" w:type="auto"/>
            <w:vAlign w:val="center"/>
          </w:tcPr>
          <w:p w14:paraId="47A12F79" w14:textId="28668C2B" w:rsidR="009170C4" w:rsidRPr="009170C4" w:rsidRDefault="009170C4" w:rsidP="009170C4">
            <w:pPr>
              <w:spacing w:line="276" w:lineRule="auto"/>
              <w:rPr>
                <w:rFonts w:ascii="Times New Roman" w:eastAsia="Times New Roman" w:hAnsi="Times New Roman"/>
                <w:sz w:val="22"/>
                <w:szCs w:val="32"/>
                <w:lang w:val="en-ID"/>
              </w:rPr>
            </w:pPr>
            <w:r w:rsidRPr="009170C4">
              <w:rPr>
                <w:rFonts w:ascii="Times New Roman" w:hAnsi="Times New Roman"/>
                <w:sz w:val="22"/>
                <w:szCs w:val="32"/>
              </w:rPr>
              <w:t>Parental involvement is very limited</w:t>
            </w:r>
          </w:p>
        </w:tc>
        <w:tc>
          <w:tcPr>
            <w:tcW w:w="0" w:type="auto"/>
            <w:vAlign w:val="center"/>
          </w:tcPr>
          <w:p w14:paraId="0DA70A75" w14:textId="011C1F5F" w:rsidR="009170C4" w:rsidRPr="009170C4" w:rsidRDefault="009170C4" w:rsidP="009170C4">
            <w:pPr>
              <w:spacing w:line="276" w:lineRule="auto"/>
              <w:rPr>
                <w:rFonts w:ascii="Times New Roman" w:eastAsia="Times New Roman" w:hAnsi="Times New Roman"/>
                <w:sz w:val="22"/>
                <w:szCs w:val="32"/>
                <w:lang w:val="en-ID"/>
              </w:rPr>
            </w:pPr>
            <w:r w:rsidRPr="009170C4">
              <w:rPr>
                <w:rFonts w:ascii="Times New Roman" w:hAnsi="Times New Roman"/>
                <w:sz w:val="22"/>
                <w:szCs w:val="32"/>
              </w:rPr>
              <w:t>Parents can directly monitor their child's progress through the platform</w:t>
            </w:r>
          </w:p>
        </w:tc>
      </w:tr>
    </w:tbl>
    <w:p w14:paraId="2D1D9CAD" w14:textId="666ADD15" w:rsidR="00FB7B23" w:rsidRPr="00FB7B23" w:rsidRDefault="00FB7B23" w:rsidP="009170C4">
      <w:pPr>
        <w:spacing w:before="240" w:after="240" w:line="276" w:lineRule="auto"/>
        <w:rPr>
          <w:rFonts w:ascii="Times New Roman" w:eastAsia="Times New Roman" w:hAnsi="Times New Roman"/>
          <w:sz w:val="22"/>
          <w:lang w:val="en-ID"/>
        </w:rPr>
      </w:pPr>
      <w:r w:rsidRPr="00FB7B23">
        <w:rPr>
          <w:rFonts w:ascii="Times New Roman" w:eastAsia="Times New Roman" w:hAnsi="Times New Roman"/>
          <w:b/>
          <w:bCs/>
          <w:sz w:val="22"/>
          <w:lang w:val="en-ID"/>
        </w:rPr>
        <w:t>Source:</w:t>
      </w:r>
      <w:r w:rsidRPr="00FB7B23">
        <w:rPr>
          <w:rFonts w:ascii="Times New Roman" w:eastAsia="Times New Roman" w:hAnsi="Times New Roman"/>
          <w:sz w:val="22"/>
          <w:lang w:val="en-ID"/>
        </w:rPr>
        <w:t xml:space="preserve"> Adapted from </w:t>
      </w:r>
      <w:r w:rsidR="00AA099C">
        <w:rPr>
          <w:rFonts w:ascii="Times New Roman" w:eastAsia="Times New Roman" w:hAnsi="Times New Roman"/>
          <w:sz w:val="22"/>
          <w:lang w:val="en-ID"/>
        </w:rPr>
        <w:fldChar w:fldCharType="begin" w:fldLock="1"/>
      </w:r>
      <w:r w:rsidR="00AA099C">
        <w:rPr>
          <w:rFonts w:ascii="Times New Roman" w:eastAsia="Times New Roman" w:hAnsi="Times New Roman"/>
          <w:sz w:val="22"/>
          <w:lang w:val="en-ID"/>
        </w:rPr>
        <w:instrText>ADDIN CSL_CITATION {"citationItems":[{"id":"ITEM-1","itemData":{"abstract":"Pada era ini penguasaan soft skills dan hard skills sama pentingnya. Siswa perlu dilatih tidak saja supaya mereka kompeten secara akademis tetapi juga supaya mereka mempunyai karakter yang berkualitas. Penilaian portofolio yang digunakan di kelas merupakan satu alternatif untuk meningkatkan kompetensi siswa secara menyeluruh. Penggunaan portofolio secara tepat tidak saja meningkatkan kompetensi spesifik pada bidang studi tertentu tetapi juga kompetensi yang bersifat umum yang diperlukan dalam kehidupan seperti berpikir kritis, berpikir reflektif, memahami kelebihan dan kelemahan diri, menemukan strategi untuk meningkatkan kompetensi, gigih, dan menjadi pembelajar yang mandiri.","author":[{"dropping-particle":"","family":"Kemendikbud","given":"","non-dropping-particle":"","parse-names":false,"suffix":""}],"container-title":"Pusat Penilaian Pendidikan","id":"ITEM-1","issued":{"date-parts":[["2019"]]},"number-of-pages":"30","publisher-place":"Jakarta","title":"Panduan Penilaian Portofolio","type":"book"},"uris":["http://www.mendeley.com/documents/?uuid=7fb22215-a81a-465c-9b39-bdae8f249abb"]},{"id":"ITEM-2","itemData":{"ISSN":"2829-3681","abstract":"Dalam suatu pembelajan selalu dibutuhkan lembar kerja peserta didik digunakan sebagai pengukuran tingkat pemahaman dan ketuntasan belajar peserta didik.&amp;nbsp; Portofolio merupakan salah satu bentuk LKPD. Secara umum, portofolio merupakan kumpulan dokumen berupa objek penilaian yang dipakai oleh seseorang, kelompok, lembaga, organisasi atau perusahaan yang bertujuan untuk mendokumentasikan dan menilai perkembangan suatu proses, Adapun tujuan dari penelitian pengembangan ini adalah untuk :1) Mendeskripsikan prosedural dan konseptual dari pengembangan portofolio digital&amp;nbsp; siswa kelas V SDN Bulukerto 01 Kota Batu melalui media canva dan youtube Tahun 2022/ 2023. 2). Mengetahui validitas dari produk pengembangan portofolio digital&amp;nbsp; untuk meningkatkan prestasi peserta didik.. 3). Menganalisis hasil uji coba produk pengembangan portofolio digital untuk meningkatkan prestasi peserta didik. 4). Mengetahui efektifitas pengembangan portofolio digital untuk meningkatkan prestasi kelas V SDN Bulukerto 01 Kota Batu Tahun 2022/ 2023. Penelitian pengembangan ini telah dilakukan berdasarkan pada aspek teoritis dan empiris merupakan model penelitian dan pengembangan ADDIE (Analyze – Design – Develop – Implement - Evaluate) berdasar teorinya Branch (2009). Produk pengembangan pada penelitian ini terdiri dari: Portofolio digital,RPP, Bahan ajar Pendapatan Nasional, lembar kegiatan penilaian diri siswa, dan evaluasi&amp;nbsp; Produk pengembangan tersebut telah melalui proses validasi oleh ahli penelitian pengembangan dan ahli bidang media. Validasi ini dijadikan acuan untuk memperbaiki dan merevisi produk pengembangan dalam penelitian ini. Produk yang dikembangkan dalam penelitian ini telah mengalami revisi, selanjutnya diuji cobakan melalui ujicoba perorangan, uji coba kelompok kecil dan uji coba, dan kelompok besar. Berdasarkan hasil uji coba produk, model pengembangan portofolio digital siswa kelas V SDN Bulukerto 01 melalui media youtube dan canva Tahun pelajaran 2022/2023 dianggap baik dan tepat untuk diaplikasikan dengan skor efektivitas 83,03.","author":[{"dropping-particle":"","family":"Adrianik","given":"Ika Catur","non-dropping-particle":"","parse-names":false,"suffix":""}],"container-title":"Jurnal Pendidikan Taman Widya Humaniora","id":"ITEM-2","issue":"4","issued":{"date-parts":[["2023","7","8"]]},"page":"1970-1994","title":"PENGEMBANGAN PORTOFOLIO DIGITAL MELALUI MEDIA CANVA DAN YOUTUBE PADA PEMBELAJARAN SISWA KELAS V  SDN BULUKERTO 01 BATU TAHUN PELAJARAN 2022/2023","type":"article-journal","volume":"2"},"uris":["http://www.mendeley.com/documents/?uuid=b801f3d7-87c0-327a-8de1-aceb072f28a7"]},{"id":"ITEM-3","itemData":{"DOI":"10.67434/ijast.v6i1.1964","ISSN":"2721-3331","abstract":"The development of digital learning demands the implementation of assessments that can authentically and contextually measure students' competencies, particularly in science education. This research aims to examine the types of authentic assessment, the digital platforms used, and the obstacles and challenges of its implementation in digital science learning. The method used is a systematic literature review of scientific articles published between 2015 and 2024 that are relevant to the topic of authentic assessment and digital learning. The study results indicate that authentic assessment in digital science learning is dominated by project-based assessment, performance assessment, and digital portfolios supported by a learning management system, virtual laboratories, and e-portfolios. Although authentic assessment has proven capable of increasing student engagement and higher-order thinking skills, its implementation still faces pedagogical, technological, and institutional challenges. These findings confirm the need to strengthen teacher competencies, infrastructure support, and assessment policies that are adaptable to digital learning.","author":[{"dropping-particle":"","family":"Zainuri","given":"Baiq Nabila Saufika","non-dropping-particle":"","parse-names":false,"suffix":""},{"dropping-particle":"","family":"Gunawan","given":"Gunawan","non-dropping-particle":"","parse-names":false,"suffix":""},{"dropping-particle":"","family":"Qothrunnada","given":"Qothrunnada","non-dropping-particle":"","parse-names":false,"suffix":""}],"container-title":"Indonesian Journal of Applied Science and Technology","id":"ITEM-3","issue":"1","issued":{"date-parts":[["2025","6","30"]]},"page":"1-12","title":"Authentic Assessment Practices In Digital Science Classrooms: A Review of Strategies and Barriers","type":"article-journal","volume":"6"},"uris":["http://www.mendeley.com/documents/?uuid=37f3ab82-87a4-4ccb-b8eb-7ac9e1063a56"]},{"id":"ITEM-4","itemData":{"DOI":"10.51878/edutech.v5i4.7867","ISSN":"2797-0140","abstract":"This study discusses the implementation of digital e-portfolios as an authentic assessment instrument in higher education, highlighting the transformation from conventional assessment toward a more comprehensive and continuous evaluation approach. The focus of the research is to identify the most effective digital e-portfolio models for documenting and reflecting students’ competencies, as well as their impact on learning outcomes and professional skill development. The method used is a systematic literature review and bibliometric analysis of 65 articles published between 2020 and 2025, employing a qualitative approach and thematic mapping software. The findings indicate that digital e-portfolios play a crucial role in promoting reflective learning, enhancing metacognitive abilities, and strengthening students’ professional identity. In addition, several technical and pedagogical challenges were identified that need to be addressed to enable more effective adoption of e-portfolios. Overall, the study concludes that digital e-portfolios are not merely documentation tools but function as learning ecosystems that support authentic assessment and continuous competency development in higher education. The study also provides recommendations for technology development and policy initiatives to support the integration of e-portfolios into competency-based learning systems. ABSTRAKPenelitian ini membahas implementasi e-portofolio digital sebagai instrumen penilaian autentik di perguruan tinggi yang mengalami transformasi dari penilaian konvensional menuju penilaian yang lebih komprehensif dan berkelanjutan. Fokus penelitian adalah identifikasi model e-portofolio digital yang paling efektif dalam mendokumentasikan dan merefleksikan kompetensi mahasiswa serta dampaknya terhadap hasil belajar dan pengembangan keterampilan profesional. Metode yang digunakan berupa systematic literature review dan analisis bibliometrik terhadap 65 artikel yang dipublikasikan antara tahun 2020 hingga 2025, dengan pendekatan kualitatif dan penggunaan software pemetaan tema. Hasil penelitian menunjukkan bahwa e-portofolio digital berperan penting dalam mendorong pembelajaran reflektif, meningkatkan kemampuan metakognitif, serta memperkuat identitas profesional mahasiswa. Selain itu, ditemukan pula berbagai tantangan teknis dan pedagogis yang perlu diatasi untuk memperluas adopsi e-portofolio secara efektif. Hasil utama penelitian ini menunjukkan bahwa, e-portofolio digital bukan hanya…","author":[{"dropping-particle":"","family":"Ali","given":"Aniiqi Karima","non-dropping-particle":"","parse-names":false,"suffix":""}],"container-title":"EDUTECH : Jurnal Inovasi Pendidikan Berbantuan Teknologi","id":"ITEM-4","issue":"4","issued":{"date-parts":[["2025","11","30"]]},"page":"759-769","title":"IMPLEMENTASI E-PORTOFOLIO DIGITAL SEBAGAI INSTRUMEN PENILAIAN AUTENTIK DI PERGURUAN TINGGI: SYSTEMATIC LITERATURE REVIEW","type":"article-journal","volume":"5"},"uris":["http://www.mendeley.com/documents/?uuid=5de97f97-2139-4075-8a0c-70c35e6dbe84"]}],"mendeley":{"formattedCitation":"(Adrianik, 2023; Ali, 2025; Kemendikbud, 2019; Zainuri et al., 2025)","manualFormatting":"Adrianik (2023); Ali (2025); Kemendikbud (2019); Zainuri et al. (2025)","plainTextFormattedCitation":"(Adrianik, 2023; Ali, 2025; Kemendikbud, 2019; Zainuri et al., 2025)","previouslyFormattedCitation":"(Adrianik, 2023; Ali, 2025; Kemendikbud, 2019; Zainuri et al., 2025)"},"properties":{"noteIndex":0},"schema":"https://github.com/citation-style-language/schema/raw/master/csl-citation.json"}</w:instrText>
      </w:r>
      <w:r w:rsidR="00AA099C">
        <w:rPr>
          <w:rFonts w:ascii="Times New Roman" w:eastAsia="Times New Roman" w:hAnsi="Times New Roman"/>
          <w:sz w:val="22"/>
          <w:lang w:val="en-ID"/>
        </w:rPr>
        <w:fldChar w:fldCharType="separate"/>
      </w:r>
      <w:r w:rsidR="00AA099C" w:rsidRPr="00AA099C">
        <w:rPr>
          <w:rFonts w:ascii="Times New Roman" w:eastAsia="Times New Roman" w:hAnsi="Times New Roman"/>
          <w:sz w:val="22"/>
          <w:lang w:val="en-ID"/>
        </w:rPr>
        <w:t xml:space="preserve">Adrianik </w:t>
      </w:r>
      <w:r w:rsidR="00AA099C">
        <w:rPr>
          <w:rFonts w:ascii="Times New Roman" w:eastAsia="Times New Roman" w:hAnsi="Times New Roman"/>
          <w:sz w:val="22"/>
          <w:lang w:val="en-ID"/>
        </w:rPr>
        <w:t>(</w:t>
      </w:r>
      <w:r w:rsidR="00AA099C" w:rsidRPr="00AA099C">
        <w:rPr>
          <w:rFonts w:ascii="Times New Roman" w:eastAsia="Times New Roman" w:hAnsi="Times New Roman"/>
          <w:sz w:val="22"/>
          <w:lang w:val="en-ID"/>
        </w:rPr>
        <w:t>2023</w:t>
      </w:r>
      <w:r w:rsidR="00AA099C">
        <w:rPr>
          <w:rFonts w:ascii="Times New Roman" w:eastAsia="Times New Roman" w:hAnsi="Times New Roman"/>
          <w:sz w:val="22"/>
          <w:lang w:val="en-ID"/>
        </w:rPr>
        <w:t>)</w:t>
      </w:r>
      <w:r w:rsidR="00AA099C" w:rsidRPr="00AA099C">
        <w:rPr>
          <w:rFonts w:ascii="Times New Roman" w:eastAsia="Times New Roman" w:hAnsi="Times New Roman"/>
          <w:sz w:val="22"/>
          <w:lang w:val="en-ID"/>
        </w:rPr>
        <w:t xml:space="preserve">; Ali </w:t>
      </w:r>
      <w:r w:rsidR="00AA099C">
        <w:rPr>
          <w:rFonts w:ascii="Times New Roman" w:eastAsia="Times New Roman" w:hAnsi="Times New Roman"/>
          <w:sz w:val="22"/>
          <w:lang w:val="en-ID"/>
        </w:rPr>
        <w:t>(</w:t>
      </w:r>
      <w:r w:rsidR="00AA099C" w:rsidRPr="00AA099C">
        <w:rPr>
          <w:rFonts w:ascii="Times New Roman" w:eastAsia="Times New Roman" w:hAnsi="Times New Roman"/>
          <w:sz w:val="22"/>
          <w:lang w:val="en-ID"/>
        </w:rPr>
        <w:t>2025</w:t>
      </w:r>
      <w:r w:rsidR="00AA099C">
        <w:rPr>
          <w:rFonts w:ascii="Times New Roman" w:eastAsia="Times New Roman" w:hAnsi="Times New Roman"/>
          <w:sz w:val="22"/>
          <w:lang w:val="en-ID"/>
        </w:rPr>
        <w:t>)</w:t>
      </w:r>
      <w:r w:rsidR="00AA099C" w:rsidRPr="00AA099C">
        <w:rPr>
          <w:rFonts w:ascii="Times New Roman" w:eastAsia="Times New Roman" w:hAnsi="Times New Roman"/>
          <w:sz w:val="22"/>
          <w:lang w:val="en-ID"/>
        </w:rPr>
        <w:t xml:space="preserve">; Kemendikbud </w:t>
      </w:r>
      <w:r w:rsidR="00AA099C">
        <w:rPr>
          <w:rFonts w:ascii="Times New Roman" w:eastAsia="Times New Roman" w:hAnsi="Times New Roman"/>
          <w:sz w:val="22"/>
          <w:lang w:val="en-ID"/>
        </w:rPr>
        <w:t>(</w:t>
      </w:r>
      <w:r w:rsidR="00AA099C" w:rsidRPr="00AA099C">
        <w:rPr>
          <w:rFonts w:ascii="Times New Roman" w:eastAsia="Times New Roman" w:hAnsi="Times New Roman"/>
          <w:sz w:val="22"/>
          <w:lang w:val="en-ID"/>
        </w:rPr>
        <w:t>2019</w:t>
      </w:r>
      <w:r w:rsidR="00AA099C">
        <w:rPr>
          <w:rFonts w:ascii="Times New Roman" w:eastAsia="Times New Roman" w:hAnsi="Times New Roman"/>
          <w:sz w:val="22"/>
          <w:lang w:val="en-ID"/>
        </w:rPr>
        <w:t>)</w:t>
      </w:r>
      <w:r w:rsidR="00AA099C" w:rsidRPr="00AA099C">
        <w:rPr>
          <w:rFonts w:ascii="Times New Roman" w:eastAsia="Times New Roman" w:hAnsi="Times New Roman"/>
          <w:sz w:val="22"/>
          <w:lang w:val="en-ID"/>
        </w:rPr>
        <w:t xml:space="preserve">; Zainuri et al. </w:t>
      </w:r>
      <w:r w:rsidR="00AA099C">
        <w:rPr>
          <w:rFonts w:ascii="Times New Roman" w:eastAsia="Times New Roman" w:hAnsi="Times New Roman"/>
          <w:sz w:val="22"/>
          <w:lang w:val="en-ID"/>
        </w:rPr>
        <w:t>(</w:t>
      </w:r>
      <w:r w:rsidR="00AA099C" w:rsidRPr="00AA099C">
        <w:rPr>
          <w:rFonts w:ascii="Times New Roman" w:eastAsia="Times New Roman" w:hAnsi="Times New Roman"/>
          <w:sz w:val="22"/>
          <w:lang w:val="en-ID"/>
        </w:rPr>
        <w:t>2025)</w:t>
      </w:r>
      <w:r w:rsidR="00AA099C">
        <w:rPr>
          <w:rFonts w:ascii="Times New Roman" w:eastAsia="Times New Roman" w:hAnsi="Times New Roman"/>
          <w:sz w:val="22"/>
          <w:lang w:val="en-ID"/>
        </w:rPr>
        <w:fldChar w:fldCharType="end"/>
      </w:r>
    </w:p>
    <w:p w14:paraId="64105AEF" w14:textId="2941B5A6" w:rsidR="00FB7B23" w:rsidRPr="00FB7B23" w:rsidRDefault="00FB7B23" w:rsidP="00FB7B23">
      <w:pPr>
        <w:spacing w:line="276" w:lineRule="auto"/>
        <w:ind w:firstLine="567"/>
        <w:jc w:val="both"/>
        <w:rPr>
          <w:rFonts w:ascii="Times New Roman" w:eastAsia="Times New Roman" w:hAnsi="Times New Roman"/>
          <w:sz w:val="24"/>
          <w:szCs w:val="24"/>
          <w:lang w:val="en-ID"/>
        </w:rPr>
      </w:pPr>
      <w:r w:rsidRPr="00FB7B23">
        <w:rPr>
          <w:rFonts w:ascii="Times New Roman" w:eastAsia="Times New Roman" w:hAnsi="Times New Roman"/>
          <w:sz w:val="24"/>
          <w:szCs w:val="24"/>
          <w:lang w:val="en-ID"/>
        </w:rPr>
        <w:t xml:space="preserve">Five interlocking arguments establish the urgency of applying this instrument within Indonesian writing classrooms under the Merdeka Curriculum. First, digital portfolios make the entire writing trajectory, from early draft to final product, available for inspection rather than only the finished artifact, directly operationalizing the synthesis offered above. Second, they institutionalize ongoing self-reflection by prompting students to document not just what they produced but how and why they revised it; </w:t>
      </w:r>
      <w:r w:rsidR="00AA099C">
        <w:rPr>
          <w:rFonts w:ascii="Times New Roman" w:eastAsia="Times New Roman" w:hAnsi="Times New Roman"/>
          <w:sz w:val="24"/>
          <w:szCs w:val="24"/>
          <w:lang w:val="en-ID"/>
        </w:rPr>
        <w:fldChar w:fldCharType="begin" w:fldLock="1"/>
      </w:r>
      <w:r w:rsidR="00AA099C">
        <w:rPr>
          <w:rFonts w:ascii="Times New Roman" w:eastAsia="Times New Roman" w:hAnsi="Times New Roman"/>
          <w:sz w:val="24"/>
          <w:szCs w:val="24"/>
          <w:lang w:val="en-ID"/>
        </w:rPr>
        <w:instrText>ADDIN CSL_CITATION {"citationItems":[{"id":"ITEM-1","itemData":{"DOI":"10.1016/j.evalprogplan.2024.102461","ISSN":"01497189","author":[{"dropping-particle":"","family":"Doğan","given":"Yunus","non-dropping-particle":"","parse-names":false,"suffix":""},{"dropping-particle":"","family":"Yıldırım","given":"Nazife Tuğba","non-dropping-particle":"","parse-names":false,"suffix":""},{"dropping-particle":"","family":"Batdı","given":"Veli","non-dropping-particle":"","parse-names":false,"suffix":""}],"container-title":"Evaluation and Program Planning","id":"ITEM-1","issued":{"date-parts":[["2024","10"]]},"page":"102461","title":"Effectiveness of portfolio assessment in primary education: A multi-complementary research approach","type":"article-journal","volume":"106"},"uris":["http://www.mendeley.com/documents/?uuid=929d1ffc-b41c-472d-bdbb-8dd1c52fdb00"]}],"mendeley":{"formattedCitation":"(Doğan et al., 2024)","manualFormatting":"Doğan et al. (2024)","plainTextFormattedCitation":"(Doğan et al., 2024)","previouslyFormattedCitation":"(Doğan et al., 2024)"},"properties":{"noteIndex":0},"schema":"https://github.com/citation-style-language/schema/raw/master/csl-citation.json"}</w:instrText>
      </w:r>
      <w:r w:rsidR="00AA099C">
        <w:rPr>
          <w:rFonts w:ascii="Times New Roman" w:eastAsia="Times New Roman" w:hAnsi="Times New Roman"/>
          <w:sz w:val="24"/>
          <w:szCs w:val="24"/>
          <w:lang w:val="en-ID"/>
        </w:rPr>
        <w:fldChar w:fldCharType="separate"/>
      </w:r>
      <w:r w:rsidR="00AA099C" w:rsidRPr="00AA099C">
        <w:rPr>
          <w:rFonts w:ascii="Times New Roman" w:eastAsia="Times New Roman" w:hAnsi="Times New Roman"/>
          <w:sz w:val="24"/>
          <w:szCs w:val="24"/>
          <w:lang w:val="en-ID"/>
        </w:rPr>
        <w:t xml:space="preserve">Doğan et al. </w:t>
      </w:r>
      <w:r w:rsidR="00AA099C">
        <w:rPr>
          <w:rFonts w:ascii="Times New Roman" w:eastAsia="Times New Roman" w:hAnsi="Times New Roman"/>
          <w:sz w:val="24"/>
          <w:szCs w:val="24"/>
          <w:lang w:val="en-ID"/>
        </w:rPr>
        <w:t>(</w:t>
      </w:r>
      <w:r w:rsidR="00AA099C" w:rsidRPr="00AA099C">
        <w:rPr>
          <w:rFonts w:ascii="Times New Roman" w:eastAsia="Times New Roman" w:hAnsi="Times New Roman"/>
          <w:sz w:val="24"/>
          <w:szCs w:val="24"/>
          <w:lang w:val="en-ID"/>
        </w:rPr>
        <w:t>2024)</w:t>
      </w:r>
      <w:r w:rsidR="00AA099C">
        <w:rPr>
          <w:rFonts w:ascii="Times New Roman" w:eastAsia="Times New Roman" w:hAnsi="Times New Roman"/>
          <w:sz w:val="24"/>
          <w:szCs w:val="24"/>
          <w:lang w:val="en-ID"/>
        </w:rPr>
        <w:fldChar w:fldCharType="end"/>
      </w:r>
      <w:r w:rsidRPr="00FB7B23">
        <w:rPr>
          <w:rFonts w:ascii="Times New Roman" w:eastAsia="Times New Roman" w:hAnsi="Times New Roman"/>
          <w:sz w:val="24"/>
          <w:szCs w:val="24"/>
          <w:lang w:val="en-ID"/>
        </w:rPr>
        <w:t xml:space="preserve"> cross-context meta-analytic evidence that portfolio assessment reliably strengthens learners' self-evaluative capacity gives this argument empirical rather than merely conceptual standing. Third, digital portfolios open feedback channels beyond the teacher alone, inviting peer and even parental input in ways that paper-based, single-evaluator assessment structurally cannot. Fourth, a digital portfolio can house multiple genres and formats within one coherent, longitudinal record, which matters in the Merdeka Curriculum given its expectation that students produce varied text types for varied communicative purposes. Fifth, the very act of building and maintaining a digital portfolio rehearses the broader digital-era competencies, communication, collaboration, critical thinking, and creativity, that learners are expected to develop regardless of subject area; van Laar, van Deursen, van Dijk, and de Haan (2020) note in their systematic review that these competencies are unevenly studied and unevenly taught, which makes a writing portfolio that exercises all four simultaneously a comparatively efficient instructional vehicle rather than an incidental benefit.</w:t>
      </w:r>
    </w:p>
    <w:p w14:paraId="627D649B" w14:textId="3E26B289" w:rsidR="00FB7B23" w:rsidRPr="00FB7B23" w:rsidRDefault="00AA099C" w:rsidP="00FB7B23">
      <w:pPr>
        <w:spacing w:line="276" w:lineRule="auto"/>
        <w:ind w:firstLine="567"/>
        <w:jc w:val="both"/>
        <w:rPr>
          <w:rFonts w:ascii="Times New Roman" w:eastAsia="Times New Roman" w:hAnsi="Times New Roman"/>
          <w:sz w:val="24"/>
          <w:szCs w:val="24"/>
          <w:lang w:val="en-ID"/>
        </w:rPr>
      </w:pPr>
      <w:r>
        <w:rPr>
          <w:rFonts w:ascii="Times New Roman" w:eastAsia="Times New Roman" w:hAnsi="Times New Roman"/>
          <w:sz w:val="24"/>
          <w:szCs w:val="24"/>
          <w:lang w:val="en-ID"/>
        </w:rPr>
        <w:fldChar w:fldCharType="begin" w:fldLock="1"/>
      </w:r>
      <w:r>
        <w:rPr>
          <w:rFonts w:ascii="Times New Roman" w:eastAsia="Times New Roman" w:hAnsi="Times New Roman"/>
          <w:sz w:val="24"/>
          <w:szCs w:val="24"/>
          <w:lang w:val="en-ID"/>
        </w:rPr>
        <w:instrText>ADDIN CSL_CITATION {"citationItems":[{"id":"ITEM-1","itemData":{"ISSN":"2829-3681","abstract":"Dalam suatu pembelajan selalu dibutuhkan lembar kerja peserta didik digunakan sebagai pengukuran tingkat pemahaman dan ketuntasan belajar peserta didik.&amp;nbsp; Portofolio merupakan salah satu bentuk LKPD. Secara umum, portofolio merupakan kumpulan dokumen berupa objek penilaian yang dipakai oleh seseorang, kelompok, lembaga, organisasi atau perusahaan yang bertujuan untuk mendokumentasikan dan menilai perkembangan suatu proses, Adapun tujuan dari penelitian pengembangan ini adalah untuk :1) Mendeskripsikan prosedural dan konseptual dari pengembangan portofolio digital&amp;nbsp; siswa kelas V SDN Bulukerto 01 Kota Batu melalui media canva dan youtube Tahun 2022/ 2023. 2). Mengetahui validitas dari produk pengembangan portofolio digital&amp;nbsp; untuk meningkatkan prestasi peserta didik.. 3). Menganalisis hasil uji coba produk pengembangan portofolio digital untuk meningkatkan prestasi peserta didik. 4). Mengetahui efektifitas pengembangan portofolio digital untuk meningkatkan prestasi kelas V SDN Bulukerto 01 Kota Batu Tahun 2022/ 2023. Penelitian pengembangan ini telah dilakukan berdasarkan pada aspek teoritis dan empiris merupakan model penelitian dan pengembangan ADDIE (Analyze – Design – Develop – Implement - Evaluate) berdasar teorinya Branch (2009). Produk pengembangan pada penelitian ini terdiri dari: Portofolio digital,RPP, Bahan ajar Pendapatan Nasional, lembar kegiatan penilaian diri siswa, dan evaluasi&amp;nbsp; Produk pengembangan tersebut telah melalui proses validasi oleh ahli penelitian pengembangan dan ahli bidang media. Validasi ini dijadikan acuan untuk memperbaiki dan merevisi produk pengembangan dalam penelitian ini. Produk yang dikembangkan dalam penelitian ini telah mengalami revisi, selanjutnya diuji cobakan melalui ujicoba perorangan, uji coba kelompok kecil dan uji coba, dan kelompok besar. Berdasarkan hasil uji coba produk, model pengembangan portofolio digital siswa kelas V SDN Bulukerto 01 melalui media youtube dan canva Tahun pelajaran 2022/2023 dianggap baik dan tepat untuk diaplikasikan dengan skor efektivitas 83,03.","author":[{"dropping-particle":"","family":"Adrianik","given":"Ika Catur","non-dropping-particle":"","parse-names":false,"suffix":""}],"container-title":"Jurnal Pendidikan Taman Widya Humaniora","id":"ITEM-1","issue":"4","issued":{"date-parts":[["2023","7","8"]]},"page":"1970-1994","title":"PENGEMBANGAN PORTOFOLIO DIGITAL MELALUI MEDIA CANVA DAN YOUTUBE PADA PEMBELAJARAN SISWA KELAS V  SDN BULUKERTO 01 BATU TAHUN PELAJARAN 2022/2023","type":"article-journal","volume":"2"},"uris":["http://www.mendeley.com/documents/?uuid=b801f3d7-87c0-327a-8de1-aceb072f28a7"]}],"mendeley":{"formattedCitation":"(Adrianik, 2023)","manualFormatting":"Adrianik's (2023)","plainTextFormattedCitation":"(Adrianik, 2023)","previouslyFormattedCitation":"(Adrianik, 2023)"},"properties":{"noteIndex":0},"schema":"https://github.com/citation-style-language/schema/raw/master/csl-citation.json"}</w:instrText>
      </w:r>
      <w:r>
        <w:rPr>
          <w:rFonts w:ascii="Times New Roman" w:eastAsia="Times New Roman" w:hAnsi="Times New Roman"/>
          <w:sz w:val="24"/>
          <w:szCs w:val="24"/>
          <w:lang w:val="en-ID"/>
        </w:rPr>
        <w:fldChar w:fldCharType="separate"/>
      </w:r>
      <w:r w:rsidRPr="00AA099C">
        <w:rPr>
          <w:rFonts w:ascii="Times New Roman" w:eastAsia="Times New Roman" w:hAnsi="Times New Roman"/>
          <w:sz w:val="24"/>
          <w:szCs w:val="24"/>
          <w:lang w:val="en-ID"/>
        </w:rPr>
        <w:t>Adrianik</w:t>
      </w:r>
      <w:r>
        <w:rPr>
          <w:rFonts w:ascii="Times New Roman" w:eastAsia="Times New Roman" w:hAnsi="Times New Roman"/>
          <w:sz w:val="24"/>
          <w:szCs w:val="24"/>
          <w:lang w:val="en-ID"/>
        </w:rPr>
        <w:t>'s</w:t>
      </w:r>
      <w:r w:rsidRPr="00AA099C">
        <w:rPr>
          <w:rFonts w:ascii="Times New Roman" w:eastAsia="Times New Roman" w:hAnsi="Times New Roman"/>
          <w:sz w:val="24"/>
          <w:szCs w:val="24"/>
          <w:lang w:val="en-ID"/>
        </w:rPr>
        <w:t xml:space="preserve"> </w:t>
      </w:r>
      <w:r>
        <w:rPr>
          <w:rFonts w:ascii="Times New Roman" w:eastAsia="Times New Roman" w:hAnsi="Times New Roman"/>
          <w:sz w:val="24"/>
          <w:szCs w:val="24"/>
          <w:lang w:val="en-ID"/>
        </w:rPr>
        <w:t>(</w:t>
      </w:r>
      <w:r w:rsidRPr="00AA099C">
        <w:rPr>
          <w:rFonts w:ascii="Times New Roman" w:eastAsia="Times New Roman" w:hAnsi="Times New Roman"/>
          <w:sz w:val="24"/>
          <w:szCs w:val="24"/>
          <w:lang w:val="en-ID"/>
        </w:rPr>
        <w:t>2023)</w:t>
      </w:r>
      <w:r>
        <w:rPr>
          <w:rFonts w:ascii="Times New Roman" w:eastAsia="Times New Roman" w:hAnsi="Times New Roman"/>
          <w:sz w:val="24"/>
          <w:szCs w:val="24"/>
          <w:lang w:val="en-ID"/>
        </w:rPr>
        <w:fldChar w:fldCharType="end"/>
      </w:r>
      <w:r w:rsidR="00FB7B23" w:rsidRPr="00FB7B23">
        <w:rPr>
          <w:rFonts w:ascii="Times New Roman" w:eastAsia="Times New Roman" w:hAnsi="Times New Roman"/>
          <w:sz w:val="24"/>
          <w:szCs w:val="24"/>
          <w:lang w:val="en-ID"/>
        </w:rPr>
        <w:t xml:space="preserve"> finding that an elementary-level digital portfolio achieved high learner engagement and a measurable effectiveness gain offers one illustrative case in support of the above synthesis, but it should be read as exactly that, a single supporting case, rather than as proof that the same outcome generalizes to secondary-level writing instruction in Indonesia specifically. The argument advanced here therefore does not rest on this case alone; it rests on the convergence of the cognitive account of writing above, the reflective and multi-stakeholder feedback functions documented by </w:t>
      </w:r>
      <w:r>
        <w:rPr>
          <w:rFonts w:ascii="Times New Roman" w:eastAsia="Times New Roman" w:hAnsi="Times New Roman"/>
          <w:sz w:val="24"/>
          <w:szCs w:val="24"/>
          <w:lang w:val="en-ID"/>
        </w:rPr>
        <w:fldChar w:fldCharType="begin" w:fldLock="1"/>
      </w:r>
      <w:r>
        <w:rPr>
          <w:rFonts w:ascii="Times New Roman" w:eastAsia="Times New Roman" w:hAnsi="Times New Roman"/>
          <w:sz w:val="24"/>
          <w:szCs w:val="24"/>
          <w:lang w:val="en-ID"/>
        </w:rPr>
        <w:instrText>ADDIN CSL_CITATION {"citationItems":[{"id":"ITEM-1","itemData":{"DOI":"10.1016/j.evalprogplan.2024.102461","ISSN":"01497189","author":[{"dropping-particle":"","family":"Doğan","given":"Yunus","non-dropping-particle":"","parse-names":false,"suffix":""},{"dropping-particle":"","family":"Yıldırım","given":"Nazife Tuğba","non-dropping-particle":"","parse-names":false,"suffix":""},{"dropping-particle":"","family":"Batdı","given":"Veli","non-dropping-particle":"","parse-names":false,"suffix":""}],"container-title":"Evaluation and Program Planning","id":"ITEM-1","issued":{"date-parts":[["2024","10"]]},"page":"102461","title":"Effectiveness of portfolio assessment in primary education: A multi-complementary research approach","type":"article-journal","volume":"106"},"uris":["http://www.mendeley.com/documents/?uuid=929d1ffc-b41c-472d-bdbb-8dd1c52fdb00"]}],"mendeley":{"formattedCitation":"(Doğan et al., 2024)","manualFormatting":"Doğan et al. (2024)","plainTextFormattedCitation":"(Doğan et al., 2024)","previouslyFormattedCitation":"(Doğan et al., 2024)"},"properties":{"noteIndex":0},"schema":"https://github.com/citation-style-language/schema/raw/master/csl-citation.json"}</w:instrText>
      </w:r>
      <w:r>
        <w:rPr>
          <w:rFonts w:ascii="Times New Roman" w:eastAsia="Times New Roman" w:hAnsi="Times New Roman"/>
          <w:sz w:val="24"/>
          <w:szCs w:val="24"/>
          <w:lang w:val="en-ID"/>
        </w:rPr>
        <w:fldChar w:fldCharType="separate"/>
      </w:r>
      <w:r w:rsidRPr="00AA099C">
        <w:rPr>
          <w:rFonts w:ascii="Times New Roman" w:eastAsia="Times New Roman" w:hAnsi="Times New Roman"/>
          <w:sz w:val="24"/>
          <w:szCs w:val="24"/>
          <w:lang w:val="en-ID"/>
        </w:rPr>
        <w:t xml:space="preserve">Doğan et al. </w:t>
      </w:r>
      <w:r>
        <w:rPr>
          <w:rFonts w:ascii="Times New Roman" w:eastAsia="Times New Roman" w:hAnsi="Times New Roman"/>
          <w:sz w:val="24"/>
          <w:szCs w:val="24"/>
          <w:lang w:val="en-ID"/>
        </w:rPr>
        <w:t>(</w:t>
      </w:r>
      <w:r w:rsidRPr="00AA099C">
        <w:rPr>
          <w:rFonts w:ascii="Times New Roman" w:eastAsia="Times New Roman" w:hAnsi="Times New Roman"/>
          <w:sz w:val="24"/>
          <w:szCs w:val="24"/>
          <w:lang w:val="en-ID"/>
        </w:rPr>
        <w:t>2024)</w:t>
      </w:r>
      <w:r>
        <w:rPr>
          <w:rFonts w:ascii="Times New Roman" w:eastAsia="Times New Roman" w:hAnsi="Times New Roman"/>
          <w:sz w:val="24"/>
          <w:szCs w:val="24"/>
          <w:lang w:val="en-ID"/>
        </w:rPr>
        <w:fldChar w:fldCharType="end"/>
      </w:r>
      <w:r w:rsidR="00FB7B23" w:rsidRPr="00FB7B23">
        <w:rPr>
          <w:rFonts w:ascii="Times New Roman" w:eastAsia="Times New Roman" w:hAnsi="Times New Roman"/>
          <w:sz w:val="24"/>
          <w:szCs w:val="24"/>
          <w:lang w:val="en-ID"/>
        </w:rPr>
        <w:t xml:space="preserve">, and the digital-competency </w:t>
      </w:r>
      <w:r w:rsidR="00FB7B23" w:rsidRPr="00FB7B23">
        <w:rPr>
          <w:rFonts w:ascii="Times New Roman" w:eastAsia="Times New Roman" w:hAnsi="Times New Roman"/>
          <w:sz w:val="24"/>
          <w:szCs w:val="24"/>
          <w:lang w:val="en-ID"/>
        </w:rPr>
        <w:lastRenderedPageBreak/>
        <w:t>rationale identified by</w:t>
      </w:r>
      <w:r>
        <w:rPr>
          <w:rFonts w:ascii="Times New Roman" w:eastAsia="Times New Roman" w:hAnsi="Times New Roman"/>
          <w:sz w:val="24"/>
          <w:szCs w:val="24"/>
          <w:lang w:val="en-ID"/>
        </w:rPr>
        <w:t xml:space="preserve"> </w:t>
      </w:r>
      <w:r>
        <w:rPr>
          <w:rFonts w:ascii="Times New Roman" w:eastAsia="Times New Roman" w:hAnsi="Times New Roman"/>
          <w:sz w:val="24"/>
          <w:szCs w:val="24"/>
          <w:lang w:val="en-ID"/>
        </w:rPr>
        <w:fldChar w:fldCharType="begin" w:fldLock="1"/>
      </w:r>
      <w:r>
        <w:rPr>
          <w:rFonts w:ascii="Times New Roman" w:eastAsia="Times New Roman" w:hAnsi="Times New Roman"/>
          <w:sz w:val="24"/>
          <w:szCs w:val="24"/>
          <w:lang w:val="en-ID"/>
        </w:rPr>
        <w:instrText>ADDIN CSL_CITATION {"citationItems":[{"id":"ITEM-1","itemData":{"DOI":"10.1177/2158244019900176","ISSN":"2158-2440","abstract":"This study brings attention to the determinants of 21st-century skills and 21st-century digital skills. The following skills are investigated: technical, information, communication, collaboration, critical thinking, creativity, and problem-solving skills. To understand differences in the level of these skills among workers, we need to know the factors that determine an individual’s skill level. A systematic literature review was conducted to provide a comprehensive overview of empirical studies measuring skill determinants. The results show that there is strong need for research on determinants of communication and collaboration skills. In a digital context, determinants for creativity and critical thinking are hardly studied. Furthermore, the identified determinants of 21st-century skills studies are limited to personality and psychological determinants, neglecting, for example, social determinants such as social support. Although digital skills studies show more variety, they mostly cover demographic and socioeconomic determinants.","author":[{"dropping-particle":"","family":"Laar","given":"Ester","non-dropping-particle":"van","parse-names":false,"suffix":""},{"dropping-particle":"","family":"Deursen","given":"Alexander J. A. M.","non-dropping-particle":"van","parse-names":false,"suffix":""},{"dropping-particle":"","family":"Dijk","given":"Jan A. G. M.","non-dropping-particle":"van","parse-names":false,"suffix":""},{"dropping-particle":"","family":"Haan","given":"Jos","non-dropping-particle":"de","parse-names":false,"suffix":""}],"container-title":"Sage Open","id":"ITEM-1","issue":"1","issued":{"date-parts":[["2020","1","24"]]},"title":"Determinants of 21st-Century Skills and 21st-Century Digital Skills for Workers: A Systematic Literature Review","type":"article-journal","volume":"10"},"uris":["http://www.mendeley.com/documents/?uuid=bf46a926-41b5-426b-8f21-4f352ecbce99"]}],"mendeley":{"formattedCitation":"(van Laar et al., 2020)","manualFormatting":"van Laar et al. (2020)","plainTextFormattedCitation":"(van Laar et al., 2020)","previouslyFormattedCitation":"(van Laar et al., 2020)"},"properties":{"noteIndex":0},"schema":"https://github.com/citation-style-language/schema/raw/master/csl-citation.json"}</w:instrText>
      </w:r>
      <w:r>
        <w:rPr>
          <w:rFonts w:ascii="Times New Roman" w:eastAsia="Times New Roman" w:hAnsi="Times New Roman"/>
          <w:sz w:val="24"/>
          <w:szCs w:val="24"/>
          <w:lang w:val="en-ID"/>
        </w:rPr>
        <w:fldChar w:fldCharType="separate"/>
      </w:r>
      <w:r w:rsidRPr="00AA099C">
        <w:rPr>
          <w:rFonts w:ascii="Times New Roman" w:eastAsia="Times New Roman" w:hAnsi="Times New Roman"/>
          <w:sz w:val="24"/>
          <w:szCs w:val="24"/>
          <w:lang w:val="en-ID"/>
        </w:rPr>
        <w:t xml:space="preserve">van Laar et al. </w:t>
      </w:r>
      <w:r>
        <w:rPr>
          <w:rFonts w:ascii="Times New Roman" w:eastAsia="Times New Roman" w:hAnsi="Times New Roman"/>
          <w:sz w:val="24"/>
          <w:szCs w:val="24"/>
          <w:lang w:val="en-ID"/>
        </w:rPr>
        <w:t>(</w:t>
      </w:r>
      <w:r w:rsidRPr="00AA099C">
        <w:rPr>
          <w:rFonts w:ascii="Times New Roman" w:eastAsia="Times New Roman" w:hAnsi="Times New Roman"/>
          <w:sz w:val="24"/>
          <w:szCs w:val="24"/>
          <w:lang w:val="en-ID"/>
        </w:rPr>
        <w:t>2020)</w:t>
      </w:r>
      <w:r>
        <w:rPr>
          <w:rFonts w:ascii="Times New Roman" w:eastAsia="Times New Roman" w:hAnsi="Times New Roman"/>
          <w:sz w:val="24"/>
          <w:szCs w:val="24"/>
          <w:lang w:val="en-ID"/>
        </w:rPr>
        <w:fldChar w:fldCharType="end"/>
      </w:r>
      <w:r w:rsidR="00FB7B23" w:rsidRPr="00FB7B23">
        <w:rPr>
          <w:rFonts w:ascii="Times New Roman" w:eastAsia="Times New Roman" w:hAnsi="Times New Roman"/>
          <w:sz w:val="24"/>
          <w:szCs w:val="24"/>
          <w:lang w:val="en-ID"/>
        </w:rPr>
        <w:t xml:space="preserve">, with </w:t>
      </w:r>
      <w:r>
        <w:rPr>
          <w:rFonts w:ascii="Times New Roman" w:eastAsia="Times New Roman" w:hAnsi="Times New Roman"/>
          <w:sz w:val="24"/>
          <w:szCs w:val="24"/>
          <w:lang w:val="en-ID"/>
        </w:rPr>
        <w:fldChar w:fldCharType="begin" w:fldLock="1"/>
      </w:r>
      <w:r>
        <w:rPr>
          <w:rFonts w:ascii="Times New Roman" w:eastAsia="Times New Roman" w:hAnsi="Times New Roman"/>
          <w:sz w:val="24"/>
          <w:szCs w:val="24"/>
          <w:lang w:val="en-ID"/>
        </w:rPr>
        <w:instrText>ADDIN CSL_CITATION {"citationItems":[{"id":"ITEM-1","itemData":{"ISSN":"2829-3681","abstract":"Dalam suatu pembelajan selalu dibutuhkan lembar kerja peserta didik digunakan sebagai pengukuran tingkat pemahaman dan ketuntasan belajar peserta didik.&amp;nbsp; Portofolio merupakan salah satu bentuk LKPD. Secara umum, portofolio merupakan kumpulan dokumen berupa objek penilaian yang dipakai oleh seseorang, kelompok, lembaga, organisasi atau perusahaan yang bertujuan untuk mendokumentasikan dan menilai perkembangan suatu proses, Adapun tujuan dari penelitian pengembangan ini adalah untuk :1) Mendeskripsikan prosedural dan konseptual dari pengembangan portofolio digital&amp;nbsp; siswa kelas V SDN Bulukerto 01 Kota Batu melalui media canva dan youtube Tahun 2022/ 2023. 2). Mengetahui validitas dari produk pengembangan portofolio digital&amp;nbsp; untuk meningkatkan prestasi peserta didik.. 3). Menganalisis hasil uji coba produk pengembangan portofolio digital untuk meningkatkan prestasi peserta didik. 4). Mengetahui efektifitas pengembangan portofolio digital untuk meningkatkan prestasi kelas V SDN Bulukerto 01 Kota Batu Tahun 2022/ 2023. Penelitian pengembangan ini telah dilakukan berdasarkan pada aspek teoritis dan empiris merupakan model penelitian dan pengembangan ADDIE (Analyze – Design – Develop – Implement - Evaluate) berdasar teorinya Branch (2009). Produk pengembangan pada penelitian ini terdiri dari: Portofolio digital,RPP, Bahan ajar Pendapatan Nasional, lembar kegiatan penilaian diri siswa, dan evaluasi&amp;nbsp; Produk pengembangan tersebut telah melalui proses validasi oleh ahli penelitian pengembangan dan ahli bidang media. Validasi ini dijadikan acuan untuk memperbaiki dan merevisi produk pengembangan dalam penelitian ini. Produk yang dikembangkan dalam penelitian ini telah mengalami revisi, selanjutnya diuji cobakan melalui ujicoba perorangan, uji coba kelompok kecil dan uji coba, dan kelompok besar. Berdasarkan hasil uji coba produk, model pengembangan portofolio digital siswa kelas V SDN Bulukerto 01 melalui media youtube dan canva Tahun pelajaran 2022/2023 dianggap baik dan tepat untuk diaplikasikan dengan skor efektivitas 83,03.","author":[{"dropping-particle":"","family":"Adrianik","given":"Ika Catur","non-dropping-particle":"","parse-names":false,"suffix":""}],"container-title":"Jurnal Pendidikan Taman Widya Humaniora","id":"ITEM-1","issue":"4","issued":{"date-parts":[["2023","7","8"]]},"page":"1970-1994","title":"PENGEMBANGAN PORTOFOLIO DIGITAL MELALUI MEDIA CANVA DAN YOUTUBE PADA PEMBELAJARAN SISWA KELAS V  SDN BULUKERTO 01 BATU TAHUN PELAJARAN 2022/2023","type":"article-journal","volume":"2"},"uris":["http://www.mendeley.com/documents/?uuid=b801f3d7-87c0-327a-8de1-aceb072f28a7"]}],"mendeley":{"formattedCitation":"(Adrianik, 2023)","manualFormatting":"Adrianik's (2023)","plainTextFormattedCitation":"(Adrianik, 2023)","previouslyFormattedCitation":"(Adrianik, 2023)"},"properties":{"noteIndex":0},"schema":"https://github.com/citation-style-language/schema/raw/master/csl-citation.json"}</w:instrText>
      </w:r>
      <w:r>
        <w:rPr>
          <w:rFonts w:ascii="Times New Roman" w:eastAsia="Times New Roman" w:hAnsi="Times New Roman"/>
          <w:sz w:val="24"/>
          <w:szCs w:val="24"/>
          <w:lang w:val="en-ID"/>
        </w:rPr>
        <w:fldChar w:fldCharType="separate"/>
      </w:r>
      <w:r w:rsidRPr="00AA099C">
        <w:rPr>
          <w:rFonts w:ascii="Times New Roman" w:eastAsia="Times New Roman" w:hAnsi="Times New Roman"/>
          <w:sz w:val="24"/>
          <w:szCs w:val="24"/>
          <w:lang w:val="en-ID"/>
        </w:rPr>
        <w:t>Adrianik</w:t>
      </w:r>
      <w:r>
        <w:rPr>
          <w:rFonts w:ascii="Times New Roman" w:eastAsia="Times New Roman" w:hAnsi="Times New Roman"/>
          <w:sz w:val="24"/>
          <w:szCs w:val="24"/>
          <w:lang w:val="en-ID"/>
        </w:rPr>
        <w:t>'s</w:t>
      </w:r>
      <w:r w:rsidRPr="00AA099C">
        <w:rPr>
          <w:rFonts w:ascii="Times New Roman" w:eastAsia="Times New Roman" w:hAnsi="Times New Roman"/>
          <w:sz w:val="24"/>
          <w:szCs w:val="24"/>
          <w:lang w:val="en-ID"/>
        </w:rPr>
        <w:t xml:space="preserve"> </w:t>
      </w:r>
      <w:r>
        <w:rPr>
          <w:rFonts w:ascii="Times New Roman" w:eastAsia="Times New Roman" w:hAnsi="Times New Roman"/>
          <w:sz w:val="24"/>
          <w:szCs w:val="24"/>
          <w:lang w:val="en-ID"/>
        </w:rPr>
        <w:t>(</w:t>
      </w:r>
      <w:r w:rsidRPr="00AA099C">
        <w:rPr>
          <w:rFonts w:ascii="Times New Roman" w:eastAsia="Times New Roman" w:hAnsi="Times New Roman"/>
          <w:sz w:val="24"/>
          <w:szCs w:val="24"/>
          <w:lang w:val="en-ID"/>
        </w:rPr>
        <w:t>2023)</w:t>
      </w:r>
      <w:r>
        <w:rPr>
          <w:rFonts w:ascii="Times New Roman" w:eastAsia="Times New Roman" w:hAnsi="Times New Roman"/>
          <w:sz w:val="24"/>
          <w:szCs w:val="24"/>
          <w:lang w:val="en-ID"/>
        </w:rPr>
        <w:fldChar w:fldCharType="end"/>
      </w:r>
      <w:r w:rsidR="00FB7B23" w:rsidRPr="00FB7B23">
        <w:rPr>
          <w:rFonts w:ascii="Times New Roman" w:eastAsia="Times New Roman" w:hAnsi="Times New Roman"/>
          <w:sz w:val="24"/>
          <w:szCs w:val="24"/>
          <w:lang w:val="en-ID"/>
        </w:rPr>
        <w:t xml:space="preserve"> elementary-level result serving as corroboration at one point on that broader argument rather than as its foundation.</w:t>
      </w:r>
    </w:p>
    <w:p w14:paraId="7F8969B8" w14:textId="2DBE525B" w:rsidR="00FB7B23" w:rsidRDefault="00FB7B23" w:rsidP="00FB7B23">
      <w:pPr>
        <w:spacing w:line="276" w:lineRule="auto"/>
        <w:ind w:firstLine="567"/>
        <w:jc w:val="both"/>
        <w:rPr>
          <w:rFonts w:ascii="Times New Roman" w:eastAsia="Times New Roman" w:hAnsi="Times New Roman"/>
          <w:sz w:val="24"/>
          <w:szCs w:val="24"/>
          <w:lang w:val="en-ID"/>
        </w:rPr>
      </w:pPr>
      <w:r w:rsidRPr="00FB7B23">
        <w:rPr>
          <w:rFonts w:ascii="Times New Roman" w:eastAsia="Times New Roman" w:hAnsi="Times New Roman"/>
          <w:sz w:val="24"/>
          <w:szCs w:val="24"/>
          <w:lang w:val="en-ID"/>
        </w:rPr>
        <w:t>For digital portfolio assessment to function as intended rather than merely as a digitized filing cabinet, its implementation must follow a small set of operating principles. Table 2 presents these principles along with their concrete implementation in writing instruction.</w:t>
      </w:r>
    </w:p>
    <w:p w14:paraId="70979B37" w14:textId="24705D8D" w:rsidR="009170C4" w:rsidRPr="009170C4" w:rsidRDefault="009170C4" w:rsidP="009170C4">
      <w:pPr>
        <w:pStyle w:val="Caption"/>
        <w:keepNext/>
        <w:spacing w:before="240"/>
        <w:rPr>
          <w:rFonts w:ascii="Times New Roman" w:hAnsi="Times New Roman"/>
          <w:b/>
          <w:bCs/>
          <w:i w:val="0"/>
          <w:iCs w:val="0"/>
          <w:color w:val="auto"/>
          <w:sz w:val="22"/>
          <w:szCs w:val="22"/>
        </w:rPr>
      </w:pPr>
      <w:r w:rsidRPr="009170C4">
        <w:rPr>
          <w:rFonts w:ascii="Times New Roman" w:hAnsi="Times New Roman"/>
          <w:b/>
          <w:bCs/>
          <w:i w:val="0"/>
          <w:iCs w:val="0"/>
          <w:color w:val="auto"/>
          <w:sz w:val="22"/>
          <w:szCs w:val="22"/>
        </w:rPr>
        <w:t xml:space="preserve">Table </w:t>
      </w:r>
      <w:r w:rsidRPr="009170C4">
        <w:rPr>
          <w:rFonts w:ascii="Times New Roman" w:hAnsi="Times New Roman"/>
          <w:b/>
          <w:bCs/>
          <w:i w:val="0"/>
          <w:iCs w:val="0"/>
          <w:color w:val="auto"/>
          <w:sz w:val="22"/>
          <w:szCs w:val="22"/>
        </w:rPr>
        <w:fldChar w:fldCharType="begin"/>
      </w:r>
      <w:r w:rsidRPr="009170C4">
        <w:rPr>
          <w:rFonts w:ascii="Times New Roman" w:hAnsi="Times New Roman"/>
          <w:b/>
          <w:bCs/>
          <w:i w:val="0"/>
          <w:iCs w:val="0"/>
          <w:color w:val="auto"/>
          <w:sz w:val="22"/>
          <w:szCs w:val="22"/>
        </w:rPr>
        <w:instrText xml:space="preserve"> SEQ Table \* ARABIC </w:instrText>
      </w:r>
      <w:r w:rsidRPr="009170C4">
        <w:rPr>
          <w:rFonts w:ascii="Times New Roman" w:hAnsi="Times New Roman"/>
          <w:b/>
          <w:bCs/>
          <w:i w:val="0"/>
          <w:iCs w:val="0"/>
          <w:color w:val="auto"/>
          <w:sz w:val="22"/>
          <w:szCs w:val="22"/>
        </w:rPr>
        <w:fldChar w:fldCharType="separate"/>
      </w:r>
      <w:r w:rsidR="002E224D">
        <w:rPr>
          <w:rFonts w:ascii="Times New Roman" w:hAnsi="Times New Roman"/>
          <w:b/>
          <w:bCs/>
          <w:i w:val="0"/>
          <w:iCs w:val="0"/>
          <w:color w:val="auto"/>
          <w:sz w:val="22"/>
          <w:szCs w:val="22"/>
        </w:rPr>
        <w:t>2</w:t>
      </w:r>
      <w:r w:rsidRPr="009170C4">
        <w:rPr>
          <w:rFonts w:ascii="Times New Roman" w:hAnsi="Times New Roman"/>
          <w:b/>
          <w:bCs/>
          <w:i w:val="0"/>
          <w:iCs w:val="0"/>
          <w:color w:val="auto"/>
          <w:sz w:val="22"/>
          <w:szCs w:val="22"/>
        </w:rPr>
        <w:fldChar w:fldCharType="end"/>
      </w:r>
      <w:r w:rsidRPr="009170C4">
        <w:rPr>
          <w:rFonts w:ascii="Times New Roman" w:hAnsi="Times New Roman"/>
          <w:b/>
          <w:bCs/>
          <w:i w:val="0"/>
          <w:iCs w:val="0"/>
          <w:color w:val="auto"/>
          <w:sz w:val="22"/>
          <w:szCs w:val="22"/>
          <w:lang w:val="en-ID"/>
        </w:rPr>
        <w:t xml:space="preserve"> </w:t>
      </w:r>
      <w:r w:rsidRPr="009170C4">
        <w:rPr>
          <w:rFonts w:ascii="Times New Roman" w:hAnsi="Times New Roman"/>
          <w:i w:val="0"/>
          <w:iCs w:val="0"/>
          <w:color w:val="auto"/>
          <w:sz w:val="22"/>
          <w:szCs w:val="22"/>
          <w:lang w:val="en-ID"/>
        </w:rPr>
        <w:t>Principles of Digital Portfolio Implementation in Writing Instruction</w:t>
      </w:r>
    </w:p>
    <w:tbl>
      <w:tblPr>
        <w:tblStyle w:val="TableGrid"/>
        <w:tblW w:w="0" w:type="auto"/>
        <w:tblLook w:val="04A0" w:firstRow="1" w:lastRow="0" w:firstColumn="1" w:lastColumn="0" w:noHBand="0" w:noVBand="1"/>
      </w:tblPr>
      <w:tblGrid>
        <w:gridCol w:w="485"/>
        <w:gridCol w:w="1804"/>
        <w:gridCol w:w="5638"/>
      </w:tblGrid>
      <w:tr w:rsidR="009170C4" w:rsidRPr="009170C4" w14:paraId="792E6958" w14:textId="77777777" w:rsidTr="009170C4">
        <w:trPr>
          <w:tblHeader/>
        </w:trPr>
        <w:tc>
          <w:tcPr>
            <w:tcW w:w="0" w:type="auto"/>
            <w:vAlign w:val="center"/>
          </w:tcPr>
          <w:p w14:paraId="67094165" w14:textId="3BEAA09C" w:rsidR="009170C4" w:rsidRPr="009170C4" w:rsidRDefault="009170C4" w:rsidP="009170C4">
            <w:pPr>
              <w:spacing w:line="276" w:lineRule="auto"/>
              <w:rPr>
                <w:rFonts w:ascii="Times New Roman" w:eastAsia="Times New Roman" w:hAnsi="Times New Roman"/>
                <w:b/>
                <w:bCs/>
                <w:sz w:val="22"/>
                <w:szCs w:val="32"/>
                <w:lang w:val="en-ID"/>
              </w:rPr>
            </w:pPr>
            <w:r w:rsidRPr="009170C4">
              <w:rPr>
                <w:rFonts w:ascii="Times New Roman" w:hAnsi="Times New Roman"/>
                <w:b/>
                <w:bCs/>
                <w:sz w:val="22"/>
                <w:szCs w:val="32"/>
              </w:rPr>
              <w:t>No</w:t>
            </w:r>
          </w:p>
        </w:tc>
        <w:tc>
          <w:tcPr>
            <w:tcW w:w="0" w:type="auto"/>
            <w:vAlign w:val="center"/>
          </w:tcPr>
          <w:p w14:paraId="691EA405" w14:textId="33204CCD" w:rsidR="009170C4" w:rsidRPr="009170C4" w:rsidRDefault="009170C4" w:rsidP="009170C4">
            <w:pPr>
              <w:spacing w:line="276" w:lineRule="auto"/>
              <w:rPr>
                <w:rFonts w:ascii="Times New Roman" w:eastAsia="Times New Roman" w:hAnsi="Times New Roman"/>
                <w:b/>
                <w:bCs/>
                <w:sz w:val="22"/>
                <w:szCs w:val="32"/>
                <w:lang w:val="en-ID"/>
              </w:rPr>
            </w:pPr>
            <w:r w:rsidRPr="009170C4">
              <w:rPr>
                <w:rFonts w:ascii="Times New Roman" w:hAnsi="Times New Roman"/>
                <w:b/>
                <w:bCs/>
                <w:sz w:val="22"/>
                <w:szCs w:val="32"/>
              </w:rPr>
              <w:t>Principle</w:t>
            </w:r>
          </w:p>
        </w:tc>
        <w:tc>
          <w:tcPr>
            <w:tcW w:w="0" w:type="auto"/>
            <w:vAlign w:val="center"/>
          </w:tcPr>
          <w:p w14:paraId="578735F9" w14:textId="792F1CED" w:rsidR="009170C4" w:rsidRPr="009170C4" w:rsidRDefault="009170C4" w:rsidP="009170C4">
            <w:pPr>
              <w:spacing w:line="276" w:lineRule="auto"/>
              <w:rPr>
                <w:rFonts w:ascii="Times New Roman" w:eastAsia="Times New Roman" w:hAnsi="Times New Roman"/>
                <w:b/>
                <w:bCs/>
                <w:sz w:val="22"/>
                <w:szCs w:val="32"/>
                <w:lang w:val="en-ID"/>
              </w:rPr>
            </w:pPr>
            <w:r w:rsidRPr="009170C4">
              <w:rPr>
                <w:rFonts w:ascii="Times New Roman" w:hAnsi="Times New Roman"/>
                <w:b/>
                <w:bCs/>
                <w:sz w:val="22"/>
                <w:szCs w:val="32"/>
              </w:rPr>
              <w:t>Implementation in Writing Instruction</w:t>
            </w:r>
          </w:p>
        </w:tc>
      </w:tr>
      <w:tr w:rsidR="009170C4" w:rsidRPr="009170C4" w14:paraId="3F8F9C27" w14:textId="77777777" w:rsidTr="009170C4">
        <w:tc>
          <w:tcPr>
            <w:tcW w:w="0" w:type="auto"/>
            <w:vAlign w:val="center"/>
          </w:tcPr>
          <w:p w14:paraId="048C57A6" w14:textId="1F75A2BE" w:rsidR="009170C4" w:rsidRPr="009170C4" w:rsidRDefault="009170C4" w:rsidP="009170C4">
            <w:pPr>
              <w:spacing w:line="276" w:lineRule="auto"/>
              <w:rPr>
                <w:rFonts w:ascii="Times New Roman" w:eastAsia="Times New Roman" w:hAnsi="Times New Roman"/>
                <w:sz w:val="22"/>
                <w:szCs w:val="32"/>
                <w:lang w:val="en-ID"/>
              </w:rPr>
            </w:pPr>
            <w:r w:rsidRPr="009170C4">
              <w:rPr>
                <w:rFonts w:ascii="Times New Roman" w:hAnsi="Times New Roman"/>
                <w:sz w:val="22"/>
                <w:szCs w:val="32"/>
              </w:rPr>
              <w:t>1</w:t>
            </w:r>
          </w:p>
        </w:tc>
        <w:tc>
          <w:tcPr>
            <w:tcW w:w="0" w:type="auto"/>
            <w:vAlign w:val="center"/>
          </w:tcPr>
          <w:p w14:paraId="170B2664" w14:textId="7EF10333" w:rsidR="009170C4" w:rsidRPr="009170C4" w:rsidRDefault="009170C4" w:rsidP="009170C4">
            <w:pPr>
              <w:spacing w:line="276" w:lineRule="auto"/>
              <w:rPr>
                <w:rFonts w:ascii="Times New Roman" w:eastAsia="Times New Roman" w:hAnsi="Times New Roman"/>
                <w:sz w:val="22"/>
                <w:szCs w:val="32"/>
                <w:lang w:val="en-ID"/>
              </w:rPr>
            </w:pPr>
            <w:r w:rsidRPr="009170C4">
              <w:rPr>
                <w:rFonts w:ascii="Times New Roman" w:hAnsi="Times New Roman"/>
                <w:sz w:val="22"/>
                <w:szCs w:val="32"/>
              </w:rPr>
              <w:t>Self-Reflection</w:t>
            </w:r>
          </w:p>
        </w:tc>
        <w:tc>
          <w:tcPr>
            <w:tcW w:w="0" w:type="auto"/>
            <w:vAlign w:val="center"/>
          </w:tcPr>
          <w:p w14:paraId="21CC8ED1" w14:textId="7F14B3DC" w:rsidR="009170C4" w:rsidRPr="009170C4" w:rsidRDefault="009170C4" w:rsidP="009170C4">
            <w:pPr>
              <w:spacing w:line="276" w:lineRule="auto"/>
              <w:rPr>
                <w:rFonts w:ascii="Times New Roman" w:eastAsia="Times New Roman" w:hAnsi="Times New Roman"/>
                <w:sz w:val="22"/>
                <w:szCs w:val="32"/>
                <w:lang w:val="en-ID"/>
              </w:rPr>
            </w:pPr>
            <w:r w:rsidRPr="009170C4">
              <w:rPr>
                <w:rFonts w:ascii="Times New Roman" w:hAnsi="Times New Roman"/>
                <w:sz w:val="22"/>
                <w:szCs w:val="32"/>
              </w:rPr>
              <w:t>Students write a reflective journal after each writing session, documenting their development, difficulties, and the strategies they used.</w:t>
            </w:r>
          </w:p>
        </w:tc>
      </w:tr>
      <w:tr w:rsidR="009170C4" w:rsidRPr="009170C4" w14:paraId="56C1087A" w14:textId="77777777" w:rsidTr="009170C4">
        <w:tc>
          <w:tcPr>
            <w:tcW w:w="0" w:type="auto"/>
            <w:vAlign w:val="center"/>
          </w:tcPr>
          <w:p w14:paraId="03664ECD" w14:textId="5844F455" w:rsidR="009170C4" w:rsidRPr="009170C4" w:rsidRDefault="009170C4" w:rsidP="009170C4">
            <w:pPr>
              <w:spacing w:line="276" w:lineRule="auto"/>
              <w:rPr>
                <w:rFonts w:ascii="Times New Roman" w:eastAsia="Times New Roman" w:hAnsi="Times New Roman"/>
                <w:sz w:val="22"/>
                <w:szCs w:val="32"/>
                <w:lang w:val="en-ID"/>
              </w:rPr>
            </w:pPr>
            <w:r w:rsidRPr="009170C4">
              <w:rPr>
                <w:rFonts w:ascii="Times New Roman" w:hAnsi="Times New Roman"/>
                <w:sz w:val="22"/>
                <w:szCs w:val="32"/>
              </w:rPr>
              <w:t>2</w:t>
            </w:r>
          </w:p>
        </w:tc>
        <w:tc>
          <w:tcPr>
            <w:tcW w:w="0" w:type="auto"/>
            <w:vAlign w:val="center"/>
          </w:tcPr>
          <w:p w14:paraId="06E9BEA8" w14:textId="685E52FE" w:rsidR="009170C4" w:rsidRPr="009170C4" w:rsidRDefault="009170C4" w:rsidP="009170C4">
            <w:pPr>
              <w:spacing w:line="276" w:lineRule="auto"/>
              <w:rPr>
                <w:rFonts w:ascii="Times New Roman" w:eastAsia="Times New Roman" w:hAnsi="Times New Roman"/>
                <w:sz w:val="22"/>
                <w:szCs w:val="32"/>
                <w:lang w:val="en-ID"/>
              </w:rPr>
            </w:pPr>
            <w:r w:rsidRPr="009170C4">
              <w:rPr>
                <w:rFonts w:ascii="Times New Roman" w:hAnsi="Times New Roman"/>
                <w:sz w:val="22"/>
                <w:szCs w:val="32"/>
              </w:rPr>
              <w:t>Process Representation</w:t>
            </w:r>
          </w:p>
        </w:tc>
        <w:tc>
          <w:tcPr>
            <w:tcW w:w="0" w:type="auto"/>
            <w:vAlign w:val="center"/>
          </w:tcPr>
          <w:p w14:paraId="5043DEA4" w14:textId="05A2CC9E" w:rsidR="009170C4" w:rsidRPr="009170C4" w:rsidRDefault="009170C4" w:rsidP="009170C4">
            <w:pPr>
              <w:spacing w:line="276" w:lineRule="auto"/>
              <w:rPr>
                <w:rFonts w:ascii="Times New Roman" w:eastAsia="Times New Roman" w:hAnsi="Times New Roman"/>
                <w:sz w:val="22"/>
                <w:szCs w:val="32"/>
                <w:lang w:val="en-ID"/>
              </w:rPr>
            </w:pPr>
            <w:r w:rsidRPr="009170C4">
              <w:rPr>
                <w:rFonts w:ascii="Times New Roman" w:hAnsi="Times New Roman"/>
                <w:sz w:val="22"/>
                <w:szCs w:val="32"/>
              </w:rPr>
              <w:t>The portfolio contains early drafts, revisions, and the final written product so that the development of the process is visible in its entirety.</w:t>
            </w:r>
          </w:p>
        </w:tc>
      </w:tr>
      <w:tr w:rsidR="009170C4" w:rsidRPr="009170C4" w14:paraId="05EA622F" w14:textId="77777777" w:rsidTr="009170C4">
        <w:tc>
          <w:tcPr>
            <w:tcW w:w="0" w:type="auto"/>
            <w:vAlign w:val="center"/>
          </w:tcPr>
          <w:p w14:paraId="466F146D" w14:textId="519083EB" w:rsidR="009170C4" w:rsidRPr="009170C4" w:rsidRDefault="009170C4" w:rsidP="009170C4">
            <w:pPr>
              <w:spacing w:line="276" w:lineRule="auto"/>
              <w:rPr>
                <w:rFonts w:ascii="Times New Roman" w:eastAsia="Times New Roman" w:hAnsi="Times New Roman"/>
                <w:sz w:val="22"/>
                <w:szCs w:val="32"/>
                <w:lang w:val="en-ID"/>
              </w:rPr>
            </w:pPr>
            <w:r w:rsidRPr="009170C4">
              <w:rPr>
                <w:rFonts w:ascii="Times New Roman" w:hAnsi="Times New Roman"/>
                <w:sz w:val="22"/>
                <w:szCs w:val="32"/>
              </w:rPr>
              <w:t>3</w:t>
            </w:r>
          </w:p>
        </w:tc>
        <w:tc>
          <w:tcPr>
            <w:tcW w:w="0" w:type="auto"/>
            <w:vAlign w:val="center"/>
          </w:tcPr>
          <w:p w14:paraId="2E6F66DA" w14:textId="3021A2E4" w:rsidR="009170C4" w:rsidRPr="009170C4" w:rsidRDefault="009170C4" w:rsidP="009170C4">
            <w:pPr>
              <w:spacing w:line="276" w:lineRule="auto"/>
              <w:rPr>
                <w:rFonts w:ascii="Times New Roman" w:eastAsia="Times New Roman" w:hAnsi="Times New Roman"/>
                <w:sz w:val="22"/>
                <w:szCs w:val="32"/>
                <w:lang w:val="en-ID"/>
              </w:rPr>
            </w:pPr>
            <w:r w:rsidRPr="009170C4">
              <w:rPr>
                <w:rFonts w:ascii="Times New Roman" w:hAnsi="Times New Roman"/>
                <w:sz w:val="22"/>
                <w:szCs w:val="32"/>
              </w:rPr>
              <w:t>Collaboration</w:t>
            </w:r>
          </w:p>
        </w:tc>
        <w:tc>
          <w:tcPr>
            <w:tcW w:w="0" w:type="auto"/>
            <w:vAlign w:val="center"/>
          </w:tcPr>
          <w:p w14:paraId="02C97717" w14:textId="1572DA79" w:rsidR="009170C4" w:rsidRPr="009170C4" w:rsidRDefault="009170C4" w:rsidP="009170C4">
            <w:pPr>
              <w:spacing w:line="276" w:lineRule="auto"/>
              <w:rPr>
                <w:rFonts w:ascii="Times New Roman" w:eastAsia="Times New Roman" w:hAnsi="Times New Roman"/>
                <w:sz w:val="22"/>
                <w:szCs w:val="32"/>
                <w:lang w:val="en-ID"/>
              </w:rPr>
            </w:pPr>
            <w:r w:rsidRPr="009170C4">
              <w:rPr>
                <w:rFonts w:ascii="Times New Roman" w:hAnsi="Times New Roman"/>
                <w:sz w:val="22"/>
                <w:szCs w:val="32"/>
              </w:rPr>
              <w:t>Students can exchange comments and feedback on each other's written work through the comment features on the digital platform.</w:t>
            </w:r>
          </w:p>
        </w:tc>
      </w:tr>
      <w:tr w:rsidR="009170C4" w:rsidRPr="009170C4" w14:paraId="66BA6370" w14:textId="77777777" w:rsidTr="009170C4">
        <w:tc>
          <w:tcPr>
            <w:tcW w:w="0" w:type="auto"/>
            <w:vAlign w:val="center"/>
          </w:tcPr>
          <w:p w14:paraId="0BC55ABB" w14:textId="72341F08" w:rsidR="009170C4" w:rsidRPr="009170C4" w:rsidRDefault="009170C4" w:rsidP="009170C4">
            <w:pPr>
              <w:spacing w:line="276" w:lineRule="auto"/>
              <w:rPr>
                <w:rFonts w:ascii="Times New Roman" w:eastAsia="Times New Roman" w:hAnsi="Times New Roman"/>
                <w:sz w:val="22"/>
                <w:szCs w:val="32"/>
                <w:lang w:val="en-ID"/>
              </w:rPr>
            </w:pPr>
            <w:r w:rsidRPr="009170C4">
              <w:rPr>
                <w:rFonts w:ascii="Times New Roman" w:hAnsi="Times New Roman"/>
                <w:sz w:val="22"/>
                <w:szCs w:val="32"/>
              </w:rPr>
              <w:t>4</w:t>
            </w:r>
          </w:p>
        </w:tc>
        <w:tc>
          <w:tcPr>
            <w:tcW w:w="0" w:type="auto"/>
            <w:vAlign w:val="center"/>
          </w:tcPr>
          <w:p w14:paraId="2D365E24" w14:textId="54977642" w:rsidR="009170C4" w:rsidRPr="009170C4" w:rsidRDefault="009170C4" w:rsidP="009170C4">
            <w:pPr>
              <w:spacing w:line="276" w:lineRule="auto"/>
              <w:rPr>
                <w:rFonts w:ascii="Times New Roman" w:eastAsia="Times New Roman" w:hAnsi="Times New Roman"/>
                <w:sz w:val="22"/>
                <w:szCs w:val="32"/>
                <w:lang w:val="en-ID"/>
              </w:rPr>
            </w:pPr>
            <w:r w:rsidRPr="009170C4">
              <w:rPr>
                <w:rFonts w:ascii="Times New Roman" w:hAnsi="Times New Roman"/>
                <w:sz w:val="22"/>
                <w:szCs w:val="32"/>
              </w:rPr>
              <w:t>Self-Assessment</w:t>
            </w:r>
          </w:p>
        </w:tc>
        <w:tc>
          <w:tcPr>
            <w:tcW w:w="0" w:type="auto"/>
            <w:vAlign w:val="center"/>
          </w:tcPr>
          <w:p w14:paraId="19C647BA" w14:textId="51A0A1A9" w:rsidR="009170C4" w:rsidRPr="009170C4" w:rsidRDefault="009170C4" w:rsidP="009170C4">
            <w:pPr>
              <w:spacing w:line="276" w:lineRule="auto"/>
              <w:rPr>
                <w:rFonts w:ascii="Times New Roman" w:eastAsia="Times New Roman" w:hAnsi="Times New Roman"/>
                <w:sz w:val="22"/>
                <w:szCs w:val="32"/>
                <w:lang w:val="en-ID"/>
              </w:rPr>
            </w:pPr>
            <w:r w:rsidRPr="009170C4">
              <w:rPr>
                <w:rFonts w:ascii="Times New Roman" w:hAnsi="Times New Roman"/>
                <w:sz w:val="22"/>
                <w:szCs w:val="32"/>
              </w:rPr>
              <w:t>Students evaluate their own work using a rubric agreed upon with the teacher before submitting their final piece.</w:t>
            </w:r>
          </w:p>
        </w:tc>
      </w:tr>
      <w:tr w:rsidR="009170C4" w:rsidRPr="009170C4" w14:paraId="3F0E7D10" w14:textId="77777777" w:rsidTr="009170C4">
        <w:tc>
          <w:tcPr>
            <w:tcW w:w="0" w:type="auto"/>
            <w:vAlign w:val="center"/>
          </w:tcPr>
          <w:p w14:paraId="1785BAB9" w14:textId="1A66A883" w:rsidR="009170C4" w:rsidRPr="009170C4" w:rsidRDefault="009170C4" w:rsidP="009170C4">
            <w:pPr>
              <w:spacing w:line="276" w:lineRule="auto"/>
              <w:rPr>
                <w:rFonts w:ascii="Times New Roman" w:eastAsia="Times New Roman" w:hAnsi="Times New Roman"/>
                <w:sz w:val="22"/>
                <w:szCs w:val="32"/>
                <w:lang w:val="en-ID"/>
              </w:rPr>
            </w:pPr>
            <w:r w:rsidRPr="009170C4">
              <w:rPr>
                <w:rFonts w:ascii="Times New Roman" w:hAnsi="Times New Roman"/>
                <w:sz w:val="22"/>
                <w:szCs w:val="32"/>
              </w:rPr>
              <w:t>5</w:t>
            </w:r>
          </w:p>
        </w:tc>
        <w:tc>
          <w:tcPr>
            <w:tcW w:w="0" w:type="auto"/>
            <w:vAlign w:val="center"/>
          </w:tcPr>
          <w:p w14:paraId="0059086D" w14:textId="6F5B7471" w:rsidR="009170C4" w:rsidRPr="009170C4" w:rsidRDefault="009170C4" w:rsidP="009170C4">
            <w:pPr>
              <w:spacing w:line="276" w:lineRule="auto"/>
              <w:rPr>
                <w:rFonts w:ascii="Times New Roman" w:eastAsia="Times New Roman" w:hAnsi="Times New Roman"/>
                <w:sz w:val="22"/>
                <w:szCs w:val="32"/>
                <w:lang w:val="en-ID"/>
              </w:rPr>
            </w:pPr>
            <w:r w:rsidRPr="009170C4">
              <w:rPr>
                <w:rFonts w:ascii="Times New Roman" w:hAnsi="Times New Roman"/>
                <w:sz w:val="22"/>
                <w:szCs w:val="32"/>
              </w:rPr>
              <w:t>Authenticity</w:t>
            </w:r>
          </w:p>
        </w:tc>
        <w:tc>
          <w:tcPr>
            <w:tcW w:w="0" w:type="auto"/>
            <w:vAlign w:val="center"/>
          </w:tcPr>
          <w:p w14:paraId="72A5006E" w14:textId="228EFE80" w:rsidR="009170C4" w:rsidRPr="009170C4" w:rsidRDefault="009170C4" w:rsidP="009170C4">
            <w:pPr>
              <w:spacing w:line="276" w:lineRule="auto"/>
              <w:rPr>
                <w:rFonts w:ascii="Times New Roman" w:eastAsia="Times New Roman" w:hAnsi="Times New Roman"/>
                <w:sz w:val="22"/>
                <w:szCs w:val="32"/>
                <w:lang w:val="en-ID"/>
              </w:rPr>
            </w:pPr>
            <w:r w:rsidRPr="009170C4">
              <w:rPr>
                <w:rFonts w:ascii="Times New Roman" w:hAnsi="Times New Roman"/>
                <w:sz w:val="22"/>
                <w:szCs w:val="32"/>
              </w:rPr>
              <w:t>The collected works are the students' own original writing that genuinely reflects their abilities, style, and actual development.</w:t>
            </w:r>
          </w:p>
        </w:tc>
      </w:tr>
      <w:tr w:rsidR="009170C4" w:rsidRPr="009170C4" w14:paraId="456F228C" w14:textId="77777777" w:rsidTr="009170C4">
        <w:tc>
          <w:tcPr>
            <w:tcW w:w="0" w:type="auto"/>
            <w:vAlign w:val="center"/>
          </w:tcPr>
          <w:p w14:paraId="29E0B5D7" w14:textId="62C63A42" w:rsidR="009170C4" w:rsidRPr="009170C4" w:rsidRDefault="009170C4" w:rsidP="009170C4">
            <w:pPr>
              <w:spacing w:line="276" w:lineRule="auto"/>
              <w:rPr>
                <w:rFonts w:ascii="Times New Roman" w:eastAsia="Times New Roman" w:hAnsi="Times New Roman"/>
                <w:sz w:val="22"/>
                <w:szCs w:val="32"/>
                <w:lang w:val="en-ID"/>
              </w:rPr>
            </w:pPr>
            <w:r w:rsidRPr="009170C4">
              <w:rPr>
                <w:rFonts w:ascii="Times New Roman" w:hAnsi="Times New Roman"/>
                <w:sz w:val="22"/>
                <w:szCs w:val="32"/>
              </w:rPr>
              <w:t>6</w:t>
            </w:r>
          </w:p>
        </w:tc>
        <w:tc>
          <w:tcPr>
            <w:tcW w:w="0" w:type="auto"/>
            <w:vAlign w:val="center"/>
          </w:tcPr>
          <w:p w14:paraId="2CACC994" w14:textId="69B5D3EF" w:rsidR="009170C4" w:rsidRPr="009170C4" w:rsidRDefault="009170C4" w:rsidP="009170C4">
            <w:pPr>
              <w:spacing w:line="276" w:lineRule="auto"/>
              <w:rPr>
                <w:rFonts w:ascii="Times New Roman" w:eastAsia="Times New Roman" w:hAnsi="Times New Roman"/>
                <w:sz w:val="22"/>
                <w:szCs w:val="32"/>
                <w:lang w:val="en-ID"/>
              </w:rPr>
            </w:pPr>
            <w:r w:rsidRPr="009170C4">
              <w:rPr>
                <w:rFonts w:ascii="Times New Roman" w:hAnsi="Times New Roman"/>
                <w:sz w:val="22"/>
                <w:szCs w:val="32"/>
              </w:rPr>
              <w:t>Continuity</w:t>
            </w:r>
          </w:p>
        </w:tc>
        <w:tc>
          <w:tcPr>
            <w:tcW w:w="0" w:type="auto"/>
            <w:vAlign w:val="center"/>
          </w:tcPr>
          <w:p w14:paraId="7BBE0FC0" w14:textId="7F906F7B" w:rsidR="009170C4" w:rsidRPr="009170C4" w:rsidRDefault="009170C4" w:rsidP="009170C4">
            <w:pPr>
              <w:spacing w:line="276" w:lineRule="auto"/>
              <w:rPr>
                <w:rFonts w:ascii="Times New Roman" w:eastAsia="Times New Roman" w:hAnsi="Times New Roman"/>
                <w:sz w:val="22"/>
                <w:szCs w:val="32"/>
                <w:lang w:val="en-ID"/>
              </w:rPr>
            </w:pPr>
            <w:r w:rsidRPr="009170C4">
              <w:rPr>
                <w:rFonts w:ascii="Times New Roman" w:hAnsi="Times New Roman"/>
                <w:sz w:val="22"/>
                <w:szCs w:val="32"/>
              </w:rPr>
              <w:t>Portfolios are collected periodically throughout the semester to provide a longitudinal and comprehensive picture of student development.</w:t>
            </w:r>
          </w:p>
        </w:tc>
      </w:tr>
    </w:tbl>
    <w:p w14:paraId="3A7FF502" w14:textId="7EBBA370" w:rsidR="00FB7B23" w:rsidRPr="00FB7B23" w:rsidRDefault="00FB7B23" w:rsidP="009170C4">
      <w:pPr>
        <w:spacing w:before="240" w:after="240" w:line="276" w:lineRule="auto"/>
        <w:rPr>
          <w:rFonts w:ascii="Times New Roman" w:eastAsia="Times New Roman" w:hAnsi="Times New Roman"/>
          <w:sz w:val="24"/>
          <w:szCs w:val="24"/>
          <w:lang w:val="en-ID"/>
        </w:rPr>
      </w:pPr>
      <w:r w:rsidRPr="00FB7B23">
        <w:rPr>
          <w:rFonts w:ascii="Times New Roman" w:eastAsia="Times New Roman" w:hAnsi="Times New Roman"/>
          <w:b/>
          <w:bCs/>
          <w:sz w:val="22"/>
          <w:lang w:val="en-ID"/>
        </w:rPr>
        <w:t>Source</w:t>
      </w:r>
      <w:r w:rsidRPr="00FB7B23">
        <w:rPr>
          <w:rFonts w:ascii="Times New Roman" w:eastAsia="Times New Roman" w:hAnsi="Times New Roman"/>
          <w:sz w:val="22"/>
          <w:lang w:val="en-ID"/>
        </w:rPr>
        <w:t xml:space="preserve">: Adapted from </w:t>
      </w:r>
      <w:r w:rsidR="00AA099C">
        <w:rPr>
          <w:rFonts w:ascii="Times New Roman" w:eastAsia="Times New Roman" w:hAnsi="Times New Roman"/>
          <w:sz w:val="22"/>
          <w:lang w:val="en-ID"/>
        </w:rPr>
        <w:fldChar w:fldCharType="begin" w:fldLock="1"/>
      </w:r>
      <w:r w:rsidR="00AA099C">
        <w:rPr>
          <w:rFonts w:ascii="Times New Roman" w:eastAsia="Times New Roman" w:hAnsi="Times New Roman"/>
          <w:sz w:val="22"/>
          <w:lang w:val="en-ID"/>
        </w:rPr>
        <w:instrText>ADDIN CSL_CITATION {"citationItems":[{"id":"ITEM-1","itemData":{"DOI":"10.1016/j.evalprogplan.2024.102461","ISSN":"01497189","author":[{"dropping-particle":"","family":"Doğan","given":"Yunus","non-dropping-particle":"","parse-names":false,"suffix":""},{"dropping-particle":"","family":"Yıldırım","given":"Nazife Tuğba","non-dropping-particle":"","parse-names":false,"suffix":""},{"dropping-particle":"","family":"Batdı","given":"Veli","non-dropping-particle":"","parse-names":false,"suffix":""}],"container-title":"Evaluation and Program Planning","id":"ITEM-1","issued":{"date-parts":[["2024","10"]]},"page":"102461","title":"Effectiveness of portfolio assessment in primary education: A multi-complementary research approach","type":"article-journal","volume":"106"},"uris":["http://www.mendeley.com/documents/?uuid=929d1ffc-b41c-472d-bdbb-8dd1c52fdb00"]},{"id":"ITEM-2","itemData":{"DOI":"10.31000/jkip.v5i2.10073","ISSN":"2656-8756","abstract":"The purpose of portfolio assessment is to serve as a formative and summative assessment tool. As a tool for formative assessment, portfolios are used to track students' daily development and motivate them to think critically about what they have learned. This study employed a qualitative research methodology, utilizing library research. Although some schools have begun to utilize it and the government has suggested that portfolio assessment be used at all educational levels, it is still seen as novel in Indonesia. Depending on the content, a portfolio can take many different forms. Some include documents, images, essays, and more. Furthermore, the purpose of a portfolio can vary depending on whether it is used for formative or summative evaluation. Generally speaking, during formative or diagnostic assessments, all students work is included, whether it is still a draft or semi-finished work or the final result. For summative assessment, not all work is included, only work that is relevant for assessment is included in the portfolio. Keywords: Evaluation, Portofolio, Assesment","author":[{"dropping-particle":"","family":"Marzuki","given":"Ismail","non-dropping-particle":"","parse-names":false,"suffix":""}],"container-title":"Tadarus Tarbawy : Jurnal Kajian Islam dan Pendidikan","id":"ITEM-2","issue":"2","issued":{"date-parts":[["2023","12","27"]]},"title":"Urgensi Penilaian Portofolio Dalam Evaluasi Pembelajaran Di Era Society 5.0","type":"article-journal","volume":"5"},"uris":["http://www.mendeley.com/documents/?uuid=e38dceb3-1b8f-4757-8d6e-81903d3bf99d"]}],"mendeley":{"formattedCitation":"(Doğan et al., 2024; Marzuki, 2023)","manualFormatting":"Doğan et al. (2024) and Marzuki (2023)","plainTextFormattedCitation":"(Doğan et al., 2024; Marzuki, 2023)","previouslyFormattedCitation":"(Doğan et al., 2024; Marzuki, 2023)"},"properties":{"noteIndex":0},"schema":"https://github.com/citation-style-language/schema/raw/master/csl-citation.json"}</w:instrText>
      </w:r>
      <w:r w:rsidR="00AA099C">
        <w:rPr>
          <w:rFonts w:ascii="Times New Roman" w:eastAsia="Times New Roman" w:hAnsi="Times New Roman"/>
          <w:sz w:val="22"/>
          <w:lang w:val="en-ID"/>
        </w:rPr>
        <w:fldChar w:fldCharType="separate"/>
      </w:r>
      <w:r w:rsidR="00AA099C" w:rsidRPr="00AA099C">
        <w:rPr>
          <w:rFonts w:ascii="Times New Roman" w:eastAsia="Times New Roman" w:hAnsi="Times New Roman"/>
          <w:sz w:val="22"/>
          <w:lang w:val="en-ID"/>
        </w:rPr>
        <w:t xml:space="preserve">Doğan et al. </w:t>
      </w:r>
      <w:r w:rsidR="00AA099C">
        <w:rPr>
          <w:rFonts w:ascii="Times New Roman" w:eastAsia="Times New Roman" w:hAnsi="Times New Roman"/>
          <w:sz w:val="22"/>
          <w:lang w:val="en-ID"/>
        </w:rPr>
        <w:t>(</w:t>
      </w:r>
      <w:r w:rsidR="00AA099C" w:rsidRPr="00AA099C">
        <w:rPr>
          <w:rFonts w:ascii="Times New Roman" w:eastAsia="Times New Roman" w:hAnsi="Times New Roman"/>
          <w:sz w:val="22"/>
          <w:lang w:val="en-ID"/>
        </w:rPr>
        <w:t>2024</w:t>
      </w:r>
      <w:r w:rsidR="00AA099C">
        <w:rPr>
          <w:rFonts w:ascii="Times New Roman" w:eastAsia="Times New Roman" w:hAnsi="Times New Roman"/>
          <w:sz w:val="22"/>
          <w:lang w:val="en-ID"/>
        </w:rPr>
        <w:t>) and</w:t>
      </w:r>
      <w:r w:rsidR="00AA099C" w:rsidRPr="00AA099C">
        <w:rPr>
          <w:rFonts w:ascii="Times New Roman" w:eastAsia="Times New Roman" w:hAnsi="Times New Roman"/>
          <w:sz w:val="22"/>
          <w:lang w:val="en-ID"/>
        </w:rPr>
        <w:t xml:space="preserve"> Marzuki </w:t>
      </w:r>
      <w:r w:rsidR="00AA099C">
        <w:rPr>
          <w:rFonts w:ascii="Times New Roman" w:eastAsia="Times New Roman" w:hAnsi="Times New Roman"/>
          <w:sz w:val="22"/>
          <w:lang w:val="en-ID"/>
        </w:rPr>
        <w:t>(</w:t>
      </w:r>
      <w:r w:rsidR="00AA099C" w:rsidRPr="00AA099C">
        <w:rPr>
          <w:rFonts w:ascii="Times New Roman" w:eastAsia="Times New Roman" w:hAnsi="Times New Roman"/>
          <w:sz w:val="22"/>
          <w:lang w:val="en-ID"/>
        </w:rPr>
        <w:t>2023)</w:t>
      </w:r>
      <w:r w:rsidR="00AA099C">
        <w:rPr>
          <w:rFonts w:ascii="Times New Roman" w:eastAsia="Times New Roman" w:hAnsi="Times New Roman"/>
          <w:sz w:val="22"/>
          <w:lang w:val="en-ID"/>
        </w:rPr>
        <w:fldChar w:fldCharType="end"/>
      </w:r>
    </w:p>
    <w:p w14:paraId="59E712BC" w14:textId="4DBF4F58" w:rsidR="00FB7B23" w:rsidRPr="00FB7B23" w:rsidRDefault="00AA099C" w:rsidP="00FB7B23">
      <w:pPr>
        <w:spacing w:line="276" w:lineRule="auto"/>
        <w:ind w:firstLine="567"/>
        <w:jc w:val="both"/>
        <w:rPr>
          <w:rFonts w:ascii="Times New Roman" w:eastAsia="Times New Roman" w:hAnsi="Times New Roman"/>
          <w:sz w:val="24"/>
          <w:szCs w:val="24"/>
          <w:lang w:val="en-ID"/>
        </w:rPr>
      </w:pPr>
      <w:r>
        <w:rPr>
          <w:rFonts w:ascii="Times New Roman" w:eastAsia="Times New Roman" w:hAnsi="Times New Roman"/>
          <w:sz w:val="24"/>
          <w:szCs w:val="24"/>
          <w:lang w:val="en-ID"/>
        </w:rPr>
        <w:fldChar w:fldCharType="begin" w:fldLock="1"/>
      </w:r>
      <w:r>
        <w:rPr>
          <w:rFonts w:ascii="Times New Roman" w:eastAsia="Times New Roman" w:hAnsi="Times New Roman"/>
          <w:sz w:val="24"/>
          <w:szCs w:val="24"/>
          <w:lang w:val="en-ID"/>
        </w:rPr>
        <w:instrText>ADDIN CSL_CITATION {"citationItems":[{"id":"ITEM-1","itemData":{"DOI":"10.1016/j.evalprogplan.2024.102461","ISSN":"01497189","author":[{"dropping-particle":"","family":"Doğan","given":"Yunus","non-dropping-particle":"","parse-names":false,"suffix":""},{"dropping-particle":"","family":"Yıldırım","given":"Nazife Tuğba","non-dropping-particle":"","parse-names":false,"suffix":""},{"dropping-particle":"","family":"Batdı","given":"Veli","non-dropping-particle":"","parse-names":false,"suffix":""}],"container-title":"Evaluation and Program Planning","id":"ITEM-1","issued":{"date-parts":[["2024","10"]]},"page":"102461","title":"Effectiveness of portfolio assessment in primary education: A multi-complementary research approach","type":"article-journal","volume":"106"},"uris":["http://www.mendeley.com/documents/?uuid=929d1ffc-b41c-472d-bdbb-8dd1c52fdb00"]}],"mendeley":{"formattedCitation":"(Doğan et al., 2024)","manualFormatting":"Doğan et al. (2024)","plainTextFormattedCitation":"(Doğan et al., 2024)","previouslyFormattedCitation":"(Doğan et al., 2024)"},"properties":{"noteIndex":0},"schema":"https://github.com/citation-style-language/schema/raw/master/csl-citation.json"}</w:instrText>
      </w:r>
      <w:r>
        <w:rPr>
          <w:rFonts w:ascii="Times New Roman" w:eastAsia="Times New Roman" w:hAnsi="Times New Roman"/>
          <w:sz w:val="24"/>
          <w:szCs w:val="24"/>
          <w:lang w:val="en-ID"/>
        </w:rPr>
        <w:fldChar w:fldCharType="separate"/>
      </w:r>
      <w:r w:rsidRPr="00AA099C">
        <w:rPr>
          <w:rFonts w:ascii="Times New Roman" w:eastAsia="Times New Roman" w:hAnsi="Times New Roman"/>
          <w:sz w:val="24"/>
          <w:szCs w:val="24"/>
          <w:lang w:val="en-ID"/>
        </w:rPr>
        <w:t xml:space="preserve">Doğan et al. </w:t>
      </w:r>
      <w:r>
        <w:rPr>
          <w:rFonts w:ascii="Times New Roman" w:eastAsia="Times New Roman" w:hAnsi="Times New Roman"/>
          <w:sz w:val="24"/>
          <w:szCs w:val="24"/>
          <w:lang w:val="en-ID"/>
        </w:rPr>
        <w:t>(</w:t>
      </w:r>
      <w:r w:rsidRPr="00AA099C">
        <w:rPr>
          <w:rFonts w:ascii="Times New Roman" w:eastAsia="Times New Roman" w:hAnsi="Times New Roman"/>
          <w:sz w:val="24"/>
          <w:szCs w:val="24"/>
          <w:lang w:val="en-ID"/>
        </w:rPr>
        <w:t>2024)</w:t>
      </w:r>
      <w:r>
        <w:rPr>
          <w:rFonts w:ascii="Times New Roman" w:eastAsia="Times New Roman" w:hAnsi="Times New Roman"/>
          <w:sz w:val="24"/>
          <w:szCs w:val="24"/>
          <w:lang w:val="en-ID"/>
        </w:rPr>
        <w:fldChar w:fldCharType="end"/>
      </w:r>
      <w:r w:rsidR="00FB7B23" w:rsidRPr="00FB7B23">
        <w:rPr>
          <w:rFonts w:ascii="Times New Roman" w:eastAsia="Times New Roman" w:hAnsi="Times New Roman"/>
          <w:sz w:val="24"/>
          <w:szCs w:val="24"/>
          <w:lang w:val="en-ID"/>
        </w:rPr>
        <w:t xml:space="preserve"> finding that the reflective dimension of portfolio work is what drives the self-evaluation gain, more than the act of compilation itself, suggests that the first and fourth principles in Table 2, self-reflection and self-assessment, are not optional refinements but the mechanism through which the other benefits described above actually take effect. Among these principles, self-positioning, the shift from student as object of assessment to student as active agent of assessment, is the thread that connects all six; without it, a digital portfolio risks becoming an elaborate storage system that documents student work without ever asking the student to think about it.</w:t>
      </w:r>
    </w:p>
    <w:p w14:paraId="10C69B4E" w14:textId="77777777" w:rsidR="00FB7B23" w:rsidRPr="00FB7B23" w:rsidRDefault="00FB7B23" w:rsidP="009170C4">
      <w:pPr>
        <w:spacing w:before="240" w:line="276" w:lineRule="auto"/>
        <w:jc w:val="both"/>
        <w:rPr>
          <w:rFonts w:ascii="Times New Roman" w:eastAsia="Times New Roman" w:hAnsi="Times New Roman"/>
          <w:sz w:val="24"/>
          <w:szCs w:val="24"/>
          <w:lang w:val="en-ID"/>
        </w:rPr>
      </w:pPr>
      <w:r w:rsidRPr="00FB7B23">
        <w:rPr>
          <w:rFonts w:ascii="Times New Roman" w:eastAsia="Times New Roman" w:hAnsi="Times New Roman"/>
          <w:b/>
          <w:bCs/>
          <w:sz w:val="24"/>
          <w:szCs w:val="24"/>
          <w:lang w:val="en-ID"/>
        </w:rPr>
        <w:t>Digital Platforms for Writing Learning Portfolios</w:t>
      </w:r>
    </w:p>
    <w:p w14:paraId="2E40AD1E" w14:textId="0E781725" w:rsidR="00FB7B23" w:rsidRPr="00FB7B23" w:rsidRDefault="00FB7B23" w:rsidP="00FB7B23">
      <w:pPr>
        <w:spacing w:line="276" w:lineRule="auto"/>
        <w:ind w:firstLine="567"/>
        <w:jc w:val="both"/>
        <w:rPr>
          <w:rFonts w:ascii="Times New Roman" w:eastAsia="Times New Roman" w:hAnsi="Times New Roman"/>
          <w:sz w:val="24"/>
          <w:szCs w:val="24"/>
          <w:lang w:val="en-ID"/>
        </w:rPr>
      </w:pPr>
      <w:r w:rsidRPr="00FB7B23">
        <w:rPr>
          <w:rFonts w:ascii="Times New Roman" w:eastAsia="Times New Roman" w:hAnsi="Times New Roman"/>
          <w:sz w:val="24"/>
          <w:szCs w:val="24"/>
          <w:lang w:val="en-ID"/>
        </w:rPr>
        <w:t xml:space="preserve">Platform selection is a practical rather than purely conceptual decision, and the literature offers limited but suggestive guidance. </w:t>
      </w:r>
      <w:r w:rsidR="00AA099C">
        <w:rPr>
          <w:rFonts w:ascii="Times New Roman" w:eastAsia="Times New Roman" w:hAnsi="Times New Roman"/>
          <w:sz w:val="24"/>
          <w:szCs w:val="24"/>
          <w:lang w:val="en-ID"/>
        </w:rPr>
        <w:fldChar w:fldCharType="begin" w:fldLock="1"/>
      </w:r>
      <w:r w:rsidR="00AA099C">
        <w:rPr>
          <w:rFonts w:ascii="Times New Roman" w:eastAsia="Times New Roman" w:hAnsi="Times New Roman"/>
          <w:sz w:val="24"/>
          <w:szCs w:val="24"/>
          <w:lang w:val="en-ID"/>
        </w:rPr>
        <w:instrText>ADDIN CSL_CITATION {"citationItems":[{"id":"ITEM-1","itemData":{"ISSN":"2829-3681","abstract":"Dalam suatu pembelajan selalu dibutuhkan lembar kerja peserta didik digunakan sebagai pengukuran tingkat pemahaman dan ketuntasan belajar peserta didik.&amp;nbsp; Portofolio merupakan salah satu bentuk LKPD. Secara umum, portofolio merupakan kumpulan dokumen berupa objek penilaian yang dipakai oleh seseorang, kelompok, lembaga, organisasi atau perusahaan yang bertujuan untuk mendokumentasikan dan menilai perkembangan suatu proses, Adapun tujuan dari penelitian pengembangan ini adalah untuk :1) Mendeskripsikan prosedural dan konseptual dari pengembangan portofolio digital&amp;nbsp; siswa kelas V SDN Bulukerto 01 Kota Batu melalui media canva dan youtube Tahun 2022/ 2023. 2). Mengetahui validitas dari produk pengembangan portofolio digital&amp;nbsp; untuk meningkatkan prestasi peserta didik.. 3). Menganalisis hasil uji coba produk pengembangan portofolio digital untuk meningkatkan prestasi peserta didik. 4). Mengetahui efektifitas pengembangan portofolio digital untuk meningkatkan prestasi kelas V SDN Bulukerto 01 Kota Batu Tahun 2022/ 2023. Penelitian pengembangan ini telah dilakukan berdasarkan pada aspek teoritis dan empiris merupakan model penelitian dan pengembangan ADDIE (Analyze – Design – Develop – Implement - Evaluate) berdasar teorinya Branch (2009). Produk pengembangan pada penelitian ini terdiri dari: Portofolio digital,RPP, Bahan ajar Pendapatan Nasional, lembar kegiatan penilaian diri siswa, dan evaluasi&amp;nbsp; Produk pengembangan tersebut telah melalui proses validasi oleh ahli penelitian pengembangan dan ahli bidang media. Validasi ini dijadikan acuan untuk memperbaiki dan merevisi produk pengembangan dalam penelitian ini. Produk yang dikembangkan dalam penelitian ini telah mengalami revisi, selanjutnya diuji cobakan melalui ujicoba perorangan, uji coba kelompok kecil dan uji coba, dan kelompok besar. Berdasarkan hasil uji coba produk, model pengembangan portofolio digital siswa kelas V SDN Bulukerto 01 melalui media youtube dan canva Tahun pelajaran 2022/2023 dianggap baik dan tepat untuk diaplikasikan dengan skor efektivitas 83,03.","author":[{"dropping-particle":"","family":"Adrianik","given":"Ika Catur","non-dropping-particle":"","parse-names":false,"suffix":""}],"container-title":"Jurnal Pendidikan Taman Widya Humaniora","id":"ITEM-1","issue":"4","issued":{"date-parts":[["2023","7","8"]]},"page":"1970-1994","title":"PENGEMBANGAN PORTOFOLIO DIGITAL MELALUI MEDIA CANVA DAN YOUTUBE PADA PEMBELAJARAN SISWA KELAS V  SDN BULUKERTO 01 BATU TAHUN PELAJARAN 2022/2023","type":"article-journal","volume":"2"},"uris":["http://www.mendeley.com/documents/?uuid=b801f3d7-87c0-327a-8de1-aceb072f28a7"]}],"mendeley":{"formattedCitation":"(Adrianik, 2023)","manualFormatting":"Adrianik (2023)","plainTextFormattedCitation":"(Adrianik, 2023)","previouslyFormattedCitation":"(Adrianik, 2023)"},"properties":{"noteIndex":0},"schema":"https://github.com/citation-style-language/schema/raw/master/csl-citation.json"}</w:instrText>
      </w:r>
      <w:r w:rsidR="00AA099C">
        <w:rPr>
          <w:rFonts w:ascii="Times New Roman" w:eastAsia="Times New Roman" w:hAnsi="Times New Roman"/>
          <w:sz w:val="24"/>
          <w:szCs w:val="24"/>
          <w:lang w:val="en-ID"/>
        </w:rPr>
        <w:fldChar w:fldCharType="separate"/>
      </w:r>
      <w:r w:rsidR="00AA099C" w:rsidRPr="00AA099C">
        <w:rPr>
          <w:rFonts w:ascii="Times New Roman" w:eastAsia="Times New Roman" w:hAnsi="Times New Roman"/>
          <w:sz w:val="24"/>
          <w:szCs w:val="24"/>
          <w:lang w:val="en-ID"/>
        </w:rPr>
        <w:t xml:space="preserve">Adrianik </w:t>
      </w:r>
      <w:r w:rsidR="00AA099C">
        <w:rPr>
          <w:rFonts w:ascii="Times New Roman" w:eastAsia="Times New Roman" w:hAnsi="Times New Roman"/>
          <w:sz w:val="24"/>
          <w:szCs w:val="24"/>
          <w:lang w:val="en-ID"/>
        </w:rPr>
        <w:t>(</w:t>
      </w:r>
      <w:r w:rsidR="00AA099C" w:rsidRPr="00AA099C">
        <w:rPr>
          <w:rFonts w:ascii="Times New Roman" w:eastAsia="Times New Roman" w:hAnsi="Times New Roman"/>
          <w:sz w:val="24"/>
          <w:szCs w:val="24"/>
          <w:lang w:val="en-ID"/>
        </w:rPr>
        <w:t>2023)</w:t>
      </w:r>
      <w:r w:rsidR="00AA099C">
        <w:rPr>
          <w:rFonts w:ascii="Times New Roman" w:eastAsia="Times New Roman" w:hAnsi="Times New Roman"/>
          <w:sz w:val="24"/>
          <w:szCs w:val="24"/>
          <w:lang w:val="en-ID"/>
        </w:rPr>
        <w:fldChar w:fldCharType="end"/>
      </w:r>
      <w:r w:rsidRPr="00FB7B23">
        <w:rPr>
          <w:rFonts w:ascii="Times New Roman" w:eastAsia="Times New Roman" w:hAnsi="Times New Roman"/>
          <w:sz w:val="24"/>
          <w:szCs w:val="24"/>
          <w:lang w:val="en-ID"/>
        </w:rPr>
        <w:t xml:space="preserve"> found that combining a design-oriented platform, Canva, with a video-hosting platform, </w:t>
      </w:r>
      <w:r w:rsidRPr="00FB7B23">
        <w:rPr>
          <w:rFonts w:ascii="Times New Roman" w:eastAsia="Times New Roman" w:hAnsi="Times New Roman"/>
          <w:sz w:val="24"/>
          <w:szCs w:val="24"/>
          <w:lang w:val="en-ID"/>
        </w:rPr>
        <w:lastRenderedPageBreak/>
        <w:t xml:space="preserve">YouTube, produced strong user acceptance among elementary learners because the pairing balanced visual presentation with audiovisual richness. For Indonesian secondary writing instruction specifically, platforms such as Google Sites, Google Classroom, Padlet, and blog services such as Blogger or WordPress offer comparable flexibility while additionally supporting the longitudinal, multi-draft structure that writing portfolios in particular require. </w:t>
      </w:r>
      <w:r w:rsidR="00AA099C">
        <w:rPr>
          <w:rFonts w:ascii="Times New Roman" w:eastAsia="Times New Roman" w:hAnsi="Times New Roman"/>
          <w:sz w:val="24"/>
          <w:szCs w:val="24"/>
          <w:lang w:val="en-ID"/>
        </w:rPr>
        <w:fldChar w:fldCharType="begin" w:fldLock="1"/>
      </w:r>
      <w:r w:rsidR="00AA099C">
        <w:rPr>
          <w:rFonts w:ascii="Times New Roman" w:eastAsia="Times New Roman" w:hAnsi="Times New Roman"/>
          <w:sz w:val="24"/>
          <w:szCs w:val="24"/>
          <w:lang w:val="en-ID"/>
        </w:rPr>
        <w:instrText>ADDIN CSL_CITATION {"citationItems":[{"id":"ITEM-1","itemData":{"DOI":"10.67434/ijast.v6i1.1964","ISSN":"2721-3331","abstract":"The development of digital learning demands the implementation of assessments that can authentically and contextually measure students' competencies, particularly in science education. This research aims to examine the types of authentic assessment, the digital platforms used, and the obstacles and challenges of its implementation in digital science learning. The method used is a systematic literature review of scientific articles published between 2015 and 2024 that are relevant to the topic of authentic assessment and digital learning. The study results indicate that authentic assessment in digital science learning is dominated by project-based assessment, performance assessment, and digital portfolios supported by a learning management system, virtual laboratories, and e-portfolios. Although authentic assessment has proven capable of increasing student engagement and higher-order thinking skills, its implementation still faces pedagogical, technological, and institutional challenges. These findings confirm the need to strengthen teacher competencies, infrastructure support, and assessment policies that are adaptable to digital learning.","author":[{"dropping-particle":"","family":"Zainuri","given":"Baiq Nabila Saufika","non-dropping-particle":"","parse-names":false,"suffix":""},{"dropping-particle":"","family":"Gunawan","given":"Gunawan","non-dropping-particle":"","parse-names":false,"suffix":""},{"dropping-particle":"","family":"Qothrunnada","given":"Qothrunnada","non-dropping-particle":"","parse-names":false,"suffix":""}],"container-title":"Indonesian Journal of Applied Science and Technology","id":"ITEM-1","issue":"1","issued":{"date-parts":[["2025","6","30"]]},"page":"1-12","title":"Authentic Assessment Practices In Digital Science Classrooms: A Review of Strategies and Barriers","type":"article-journal","volume":"6"},"uris":["http://www.mendeley.com/documents/?uuid=37f3ab82-87a4-4ccb-b8eb-7ac9e1063a56"]},{"id":"ITEM-2","itemData":{"DOI":"10.51878/edutech.v5i4.7867","ISSN":"2797-0140","abstract":"This study discusses the implementation of digital e-portfolios as an authentic assessment instrument in higher education, highlighting the transformation from conventional assessment toward a more comprehensive and continuous evaluation approach. The focus of the research is to identify the most effective digital e-portfolio models for documenting and reflecting students’ competencies, as well as their impact on learning outcomes and professional skill development. The method used is a systematic literature review and bibliometric analysis of 65 articles published between 2020 and 2025, employing a qualitative approach and thematic mapping software. The findings indicate that digital e-portfolios play a crucial role in promoting reflective learning, enhancing metacognitive abilities, and strengthening students’ professional identity. In addition, several technical and pedagogical challenges were identified that need to be addressed to enable more effective adoption of e-portfolios. Overall, the study concludes that digital e-portfolios are not merely documentation tools but function as learning ecosystems that support authentic assessment and continuous competency development in higher education. The study also provides recommendations for technology development and policy initiatives to support the integration of e-portfolios into competency-based learning systems. ABSTRAKPenelitian ini membahas implementasi e-portofolio digital sebagai instrumen penilaian autentik di perguruan tinggi yang mengalami transformasi dari penilaian konvensional menuju penilaian yang lebih komprehensif dan berkelanjutan. Fokus penelitian adalah identifikasi model e-portofolio digital yang paling efektif dalam mendokumentasikan dan merefleksikan kompetensi mahasiswa serta dampaknya terhadap hasil belajar dan pengembangan keterampilan profesional. Metode yang digunakan berupa systematic literature review dan analisis bibliometrik terhadap 65 artikel yang dipublikasikan antara tahun 2020 hingga 2025, dengan pendekatan kualitatif dan penggunaan software pemetaan tema. Hasil penelitian menunjukkan bahwa e-portofolio digital berperan penting dalam mendorong pembelajaran reflektif, meningkatkan kemampuan metakognitif, serta memperkuat identitas profesional mahasiswa. Selain itu, ditemukan pula berbagai tantangan teknis dan pedagogis yang perlu diatasi untuk memperluas adopsi e-portofolio secara efektif. Hasil utama penelitian ini menunjukkan bahwa, e-portofolio digital bukan hanya…","author":[{"dropping-particle":"","family":"Ali","given":"Aniiqi Karima","non-dropping-particle":"","parse-names":false,"suffix":""}],"container-title":"EDUTECH : Jurnal Inovasi Pendidikan Berbantuan Teknologi","id":"ITEM-2","issue":"4","issued":{"date-parts":[["2025","11","30"]]},"page":"759-769","title":"IMPLEMENTASI E-PORTOFOLIO DIGITAL SEBAGAI INSTRUMEN PENILAIAN AUTENTIK DI PERGURUAN TINGGI: SYSTEMATIC LITERATURE REVIEW","type":"article-journal","volume":"5"},"uris":["http://www.mendeley.com/documents/?uuid=5de97f97-2139-4075-8a0c-70c35e6dbe84"]}],"mendeley":{"formattedCitation":"(Ali, 2025; Zainuri et al., 2025)","manualFormatting":"Ali (2025) and Zainuri et al. (2025)","plainTextFormattedCitation":"(Ali, 2025; Zainuri et al., 2025)","previouslyFormattedCitation":"(Ali, 2025; Zainuri et al., 2025)"},"properties":{"noteIndex":0},"schema":"https://github.com/citation-style-language/schema/raw/master/csl-citation.json"}</w:instrText>
      </w:r>
      <w:r w:rsidR="00AA099C">
        <w:rPr>
          <w:rFonts w:ascii="Times New Roman" w:eastAsia="Times New Roman" w:hAnsi="Times New Roman"/>
          <w:sz w:val="24"/>
          <w:szCs w:val="24"/>
          <w:lang w:val="en-ID"/>
        </w:rPr>
        <w:fldChar w:fldCharType="separate"/>
      </w:r>
      <w:r w:rsidR="00AA099C" w:rsidRPr="00AA099C">
        <w:rPr>
          <w:rFonts w:ascii="Times New Roman" w:eastAsia="Times New Roman" w:hAnsi="Times New Roman"/>
          <w:sz w:val="24"/>
          <w:szCs w:val="24"/>
          <w:lang w:val="en-ID"/>
        </w:rPr>
        <w:t xml:space="preserve">Ali </w:t>
      </w:r>
      <w:r w:rsidR="00AA099C">
        <w:rPr>
          <w:rFonts w:ascii="Times New Roman" w:eastAsia="Times New Roman" w:hAnsi="Times New Roman"/>
          <w:sz w:val="24"/>
          <w:szCs w:val="24"/>
          <w:lang w:val="en-ID"/>
        </w:rPr>
        <w:t>(</w:t>
      </w:r>
      <w:r w:rsidR="00AA099C" w:rsidRPr="00AA099C">
        <w:rPr>
          <w:rFonts w:ascii="Times New Roman" w:eastAsia="Times New Roman" w:hAnsi="Times New Roman"/>
          <w:sz w:val="24"/>
          <w:szCs w:val="24"/>
          <w:lang w:val="en-ID"/>
        </w:rPr>
        <w:t>2025</w:t>
      </w:r>
      <w:r w:rsidR="00AA099C">
        <w:rPr>
          <w:rFonts w:ascii="Times New Roman" w:eastAsia="Times New Roman" w:hAnsi="Times New Roman"/>
          <w:sz w:val="24"/>
          <w:szCs w:val="24"/>
          <w:lang w:val="en-ID"/>
        </w:rPr>
        <w:t>) and</w:t>
      </w:r>
      <w:r w:rsidR="00AA099C" w:rsidRPr="00AA099C">
        <w:rPr>
          <w:rFonts w:ascii="Times New Roman" w:eastAsia="Times New Roman" w:hAnsi="Times New Roman"/>
          <w:sz w:val="24"/>
          <w:szCs w:val="24"/>
          <w:lang w:val="en-ID"/>
        </w:rPr>
        <w:t xml:space="preserve"> Zainuri et al. </w:t>
      </w:r>
      <w:r w:rsidR="00AA099C">
        <w:rPr>
          <w:rFonts w:ascii="Times New Roman" w:eastAsia="Times New Roman" w:hAnsi="Times New Roman"/>
          <w:sz w:val="24"/>
          <w:szCs w:val="24"/>
          <w:lang w:val="en-ID"/>
        </w:rPr>
        <w:t>(</w:t>
      </w:r>
      <w:r w:rsidR="00AA099C" w:rsidRPr="00AA099C">
        <w:rPr>
          <w:rFonts w:ascii="Times New Roman" w:eastAsia="Times New Roman" w:hAnsi="Times New Roman"/>
          <w:sz w:val="24"/>
          <w:szCs w:val="24"/>
          <w:lang w:val="en-ID"/>
        </w:rPr>
        <w:t>2025)</w:t>
      </w:r>
      <w:r w:rsidR="00AA099C">
        <w:rPr>
          <w:rFonts w:ascii="Times New Roman" w:eastAsia="Times New Roman" w:hAnsi="Times New Roman"/>
          <w:sz w:val="24"/>
          <w:szCs w:val="24"/>
          <w:lang w:val="en-ID"/>
        </w:rPr>
        <w:fldChar w:fldCharType="end"/>
      </w:r>
      <w:r w:rsidRPr="00FB7B23">
        <w:rPr>
          <w:rFonts w:ascii="Times New Roman" w:eastAsia="Times New Roman" w:hAnsi="Times New Roman"/>
          <w:sz w:val="24"/>
          <w:szCs w:val="24"/>
          <w:lang w:val="en-ID"/>
        </w:rPr>
        <w:t xml:space="preserve"> found, in a science-learning context rather than a writing context, that documentation of reports and reflections served as credible evidence of literacy development when properly organized on a digital platform; the principle, that organization and storage quality directly affect whether digital documentation functions as genuine evidence rather than as undifferentiated digital clutter, transfers to writing instruction even though the originating study did not address writing specifically. Platform choice should ultimately be judged against ease of use, cross-device accessibility, data security, and capacity to support interactive feedback, rather than novelty or visual appeal alone.</w:t>
      </w:r>
    </w:p>
    <w:p w14:paraId="023E3111" w14:textId="77777777" w:rsidR="00FB7B23" w:rsidRPr="00FB7B23" w:rsidRDefault="00FB7B23" w:rsidP="009170C4">
      <w:pPr>
        <w:spacing w:before="240" w:line="276" w:lineRule="auto"/>
        <w:jc w:val="both"/>
        <w:rPr>
          <w:rFonts w:ascii="Times New Roman" w:eastAsia="Times New Roman" w:hAnsi="Times New Roman"/>
          <w:sz w:val="24"/>
          <w:szCs w:val="24"/>
          <w:lang w:val="en-ID"/>
        </w:rPr>
      </w:pPr>
      <w:r w:rsidRPr="00FB7B23">
        <w:rPr>
          <w:rFonts w:ascii="Times New Roman" w:eastAsia="Times New Roman" w:hAnsi="Times New Roman"/>
          <w:b/>
          <w:bCs/>
          <w:sz w:val="24"/>
          <w:szCs w:val="24"/>
          <w:lang w:val="en-ID"/>
        </w:rPr>
        <w:t>Challenges and Solutions in Implementation</w:t>
      </w:r>
    </w:p>
    <w:p w14:paraId="26ED127F" w14:textId="342D2008" w:rsidR="002C0006" w:rsidRDefault="00FB7B23" w:rsidP="00FB7B23">
      <w:pPr>
        <w:spacing w:line="276" w:lineRule="auto"/>
        <w:ind w:firstLine="567"/>
        <w:jc w:val="both"/>
        <w:rPr>
          <w:rFonts w:ascii="Times New Roman" w:eastAsia="Times New Roman" w:hAnsi="Times New Roman"/>
          <w:sz w:val="24"/>
          <w:szCs w:val="24"/>
          <w:lang w:val="en-ID"/>
        </w:rPr>
      </w:pPr>
      <w:r w:rsidRPr="00FB7B23">
        <w:rPr>
          <w:rFonts w:ascii="Times New Roman" w:eastAsia="Times New Roman" w:hAnsi="Times New Roman"/>
          <w:sz w:val="24"/>
          <w:szCs w:val="24"/>
          <w:lang w:val="en-ID"/>
        </w:rPr>
        <w:t xml:space="preserve">Four challenges recur across the literature and merit equally direct solutions. The first is the digital infrastructure gap: not every school has reliable internet access, and not every student owns a device usable outside school hours. </w:t>
      </w:r>
      <w:r w:rsidR="00AA099C">
        <w:rPr>
          <w:rFonts w:ascii="Times New Roman" w:eastAsia="Times New Roman" w:hAnsi="Times New Roman"/>
          <w:sz w:val="24"/>
          <w:szCs w:val="24"/>
          <w:lang w:val="en-ID"/>
        </w:rPr>
        <w:fldChar w:fldCharType="begin" w:fldLock="1"/>
      </w:r>
      <w:r w:rsidR="00AA099C">
        <w:rPr>
          <w:rFonts w:ascii="Times New Roman" w:eastAsia="Times New Roman" w:hAnsi="Times New Roman"/>
          <w:sz w:val="24"/>
          <w:szCs w:val="24"/>
          <w:lang w:val="en-ID"/>
        </w:rPr>
        <w:instrText>ADDIN CSL_CITATION {"citationItems":[{"id":"ITEM-1","itemData":{"DOI":"10.31004/basicedu.v6i2.2236","ISSN":"2580-1147","abstract":"Sejalan dengan perkembangan zaman, terlihat adanya peningkatan dalam penggunaan teknologi digital. Salah satunya dalam dunia pendidikan, baik dalam perencaan pembelajaran, kegiatan pembelajaran, hingga penilaian dan evaluasi pembelajaran sudah beralih menggunakan media digital. Elektronik portofolio menjadi salah satu wujud dari digitalisasi tersebut. Tujuan penelitian ini adalah untuk mengetahui pemanfaatan elektronik portofolio sebagai instrument penilaian pembelajaran siswa pada era digital. Penelitian ini menggunakan metode penelitian kualitatif dengan jenis pendekatan studi pustaka (library research). Hasil penelitian ini menyatakan bahwa penggunaan elektronik portofolio dapat membuat penilaian pembelajaran dan pencapaian siswa menjadi lebih efektif, efisien, dan lebih praktis. Selain itu, dibandingkan dengan portofolio konvensional berbasis kertas, elektronik portofolio lebih fleksibel karena dapat diakses kapan saja dan dimana saja hal tersebut karena e-portofolio memungkinkan akses jaringan dan koneksi yang lebih luas, penilaian yang lebih inovatif dan bervariasi, serta memungkinkan adanya kolaborasi antar siswa.","author":[{"dropping-particle":"","family":"Masluhah","given":"Masluhah","non-dropping-particle":"","parse-names":false,"suffix":""},{"dropping-particle":"","family":"Afifah","given":"Kiki Rizkiatul","non-dropping-particle":"","parse-names":false,"suffix":""}],"container-title":"Jurnal Basicedu","id":"ITEM-1","issue":"2","issued":{"date-parts":[["2022","2","9"]]},"page":"1883-1896","title":"Electronic Portofolio Sebagai Instrumen Penilaian Pembelajaran Siswa di Era Digital","type":"article-journal","volume":"6"},"uris":["http://www.mendeley.com/documents/?uuid=fd8a9803-dbdf-498f-9217-9c5ac0ca4591"]}],"mendeley":{"formattedCitation":"(Masluhah &amp; Afifah, 2022)","manualFormatting":"Masluhah and Afifah (2022)","plainTextFormattedCitation":"(Masluhah &amp; Afifah, 2022)","previouslyFormattedCitation":"(Masluhah &amp; Afifah, 2022)"},"properties":{"noteIndex":0},"schema":"https://github.com/citation-style-language/schema/raw/master/csl-citation.json"}</w:instrText>
      </w:r>
      <w:r w:rsidR="00AA099C">
        <w:rPr>
          <w:rFonts w:ascii="Times New Roman" w:eastAsia="Times New Roman" w:hAnsi="Times New Roman"/>
          <w:sz w:val="24"/>
          <w:szCs w:val="24"/>
          <w:lang w:val="en-ID"/>
        </w:rPr>
        <w:fldChar w:fldCharType="separate"/>
      </w:r>
      <w:r w:rsidR="00AA099C" w:rsidRPr="00AA099C">
        <w:rPr>
          <w:rFonts w:ascii="Times New Roman" w:eastAsia="Times New Roman" w:hAnsi="Times New Roman"/>
          <w:sz w:val="24"/>
          <w:szCs w:val="24"/>
          <w:lang w:val="en-ID"/>
        </w:rPr>
        <w:t xml:space="preserve">Masluhah </w:t>
      </w:r>
      <w:r w:rsidR="00AA099C">
        <w:rPr>
          <w:rFonts w:ascii="Times New Roman" w:eastAsia="Times New Roman" w:hAnsi="Times New Roman"/>
          <w:sz w:val="24"/>
          <w:szCs w:val="24"/>
          <w:lang w:val="en-ID"/>
        </w:rPr>
        <w:t>and</w:t>
      </w:r>
      <w:r w:rsidR="00AA099C" w:rsidRPr="00AA099C">
        <w:rPr>
          <w:rFonts w:ascii="Times New Roman" w:eastAsia="Times New Roman" w:hAnsi="Times New Roman"/>
          <w:sz w:val="24"/>
          <w:szCs w:val="24"/>
          <w:lang w:val="en-ID"/>
        </w:rPr>
        <w:t xml:space="preserve"> Afifah </w:t>
      </w:r>
      <w:r w:rsidR="00AA099C">
        <w:rPr>
          <w:rFonts w:ascii="Times New Roman" w:eastAsia="Times New Roman" w:hAnsi="Times New Roman"/>
          <w:sz w:val="24"/>
          <w:szCs w:val="24"/>
          <w:lang w:val="en-ID"/>
        </w:rPr>
        <w:t>(</w:t>
      </w:r>
      <w:r w:rsidR="00AA099C" w:rsidRPr="00AA099C">
        <w:rPr>
          <w:rFonts w:ascii="Times New Roman" w:eastAsia="Times New Roman" w:hAnsi="Times New Roman"/>
          <w:sz w:val="24"/>
          <w:szCs w:val="24"/>
          <w:lang w:val="en-ID"/>
        </w:rPr>
        <w:t>2022)</w:t>
      </w:r>
      <w:r w:rsidR="00AA099C">
        <w:rPr>
          <w:rFonts w:ascii="Times New Roman" w:eastAsia="Times New Roman" w:hAnsi="Times New Roman"/>
          <w:sz w:val="24"/>
          <w:szCs w:val="24"/>
          <w:lang w:val="en-ID"/>
        </w:rPr>
        <w:fldChar w:fldCharType="end"/>
      </w:r>
      <w:r w:rsidR="00AA099C">
        <w:rPr>
          <w:rFonts w:ascii="Times New Roman" w:eastAsia="Times New Roman" w:hAnsi="Times New Roman"/>
          <w:sz w:val="24"/>
          <w:szCs w:val="24"/>
          <w:lang w:val="en-ID"/>
        </w:rPr>
        <w:t xml:space="preserve"> </w:t>
      </w:r>
      <w:r w:rsidRPr="00FB7B23">
        <w:rPr>
          <w:rFonts w:ascii="Times New Roman" w:eastAsia="Times New Roman" w:hAnsi="Times New Roman"/>
          <w:sz w:val="24"/>
          <w:szCs w:val="24"/>
          <w:lang w:val="en-ID"/>
        </w:rPr>
        <w:t xml:space="preserve">identify limited device access as among the principal barriers to e-portfolio adoption in Indonesia, a finding that supports school-based intranet solutions, scheduled device rotation, and partnership with local government on access equity rather than assuming universal connectivity. The second challenge is teacher readiness, since digital portfolio implementation demands pedagogical and technical competence simultaneously; </w:t>
      </w:r>
      <w:r w:rsidR="00AA099C">
        <w:rPr>
          <w:rFonts w:ascii="Times New Roman" w:eastAsia="Times New Roman" w:hAnsi="Times New Roman"/>
          <w:sz w:val="24"/>
          <w:szCs w:val="24"/>
          <w:lang w:val="en-ID"/>
        </w:rPr>
        <w:fldChar w:fldCharType="begin" w:fldLock="1"/>
      </w:r>
      <w:r w:rsidR="00AA099C">
        <w:rPr>
          <w:rFonts w:ascii="Times New Roman" w:eastAsia="Times New Roman" w:hAnsi="Times New Roman"/>
          <w:sz w:val="24"/>
          <w:szCs w:val="24"/>
          <w:lang w:val="en-ID"/>
        </w:rPr>
        <w:instrText>ADDIN CSL_CITATION {"citationItems":[{"id":"ITEM-1","itemData":{"DOI":"10.31004/basicedu.v6i2.2236","ISSN":"2580-1147","abstract":"Sejalan dengan perkembangan zaman, terlihat adanya peningkatan dalam penggunaan teknologi digital. Salah satunya dalam dunia pendidikan, baik dalam perencaan pembelajaran, kegiatan pembelajaran, hingga penilaian dan evaluasi pembelajaran sudah beralih menggunakan media digital. Elektronik portofolio menjadi salah satu wujud dari digitalisasi tersebut. Tujuan penelitian ini adalah untuk mengetahui pemanfaatan elektronik portofolio sebagai instrument penilaian pembelajaran siswa pada era digital. Penelitian ini menggunakan metode penelitian kualitatif dengan jenis pendekatan studi pustaka (library research). Hasil penelitian ini menyatakan bahwa penggunaan elektronik portofolio dapat membuat penilaian pembelajaran dan pencapaian siswa menjadi lebih efektif, efisien, dan lebih praktis. Selain itu, dibandingkan dengan portofolio konvensional berbasis kertas, elektronik portofolio lebih fleksibel karena dapat diakses kapan saja dan dimana saja hal tersebut karena e-portofolio memungkinkan akses jaringan dan koneksi yang lebih luas, penilaian yang lebih inovatif dan bervariasi, serta memungkinkan adanya kolaborasi antar siswa.","author":[{"dropping-particle":"","family":"Masluhah","given":"Masluhah","non-dropping-particle":"","parse-names":false,"suffix":""},{"dropping-particle":"","family":"Afifah","given":"Kiki Rizkiatul","non-dropping-particle":"","parse-names":false,"suffix":""}],"container-title":"Jurnal Basicedu","id":"ITEM-1","issue":"2","issued":{"date-parts":[["2022","2","9"]]},"page":"1883-1896","title":"Electronic Portofolio Sebagai Instrumen Penilaian Pembelajaran Siswa di Era Digital","type":"article-journal","volume":"6"},"uris":["http://www.mendeley.com/documents/?uuid=fd8a9803-dbdf-498f-9217-9c5ac0ca4591"]}],"mendeley":{"formattedCitation":"(Masluhah &amp; Afifah, 2022)","manualFormatting":"Masluhah and Afifah (2022)","plainTextFormattedCitation":"(Masluhah &amp; Afifah, 2022)","previouslyFormattedCitation":"(Masluhah &amp; Afifah, 2022)"},"properties":{"noteIndex":0},"schema":"https://github.com/citation-style-language/schema/raw/master/csl-citation.json"}</w:instrText>
      </w:r>
      <w:r w:rsidR="00AA099C">
        <w:rPr>
          <w:rFonts w:ascii="Times New Roman" w:eastAsia="Times New Roman" w:hAnsi="Times New Roman"/>
          <w:sz w:val="24"/>
          <w:szCs w:val="24"/>
          <w:lang w:val="en-ID"/>
        </w:rPr>
        <w:fldChar w:fldCharType="separate"/>
      </w:r>
      <w:r w:rsidR="00AA099C" w:rsidRPr="00AA099C">
        <w:rPr>
          <w:rFonts w:ascii="Times New Roman" w:eastAsia="Times New Roman" w:hAnsi="Times New Roman"/>
          <w:sz w:val="24"/>
          <w:szCs w:val="24"/>
          <w:lang w:val="en-ID"/>
        </w:rPr>
        <w:t xml:space="preserve">Masluhah </w:t>
      </w:r>
      <w:r w:rsidR="00AA099C">
        <w:rPr>
          <w:rFonts w:ascii="Times New Roman" w:eastAsia="Times New Roman" w:hAnsi="Times New Roman"/>
          <w:sz w:val="24"/>
          <w:szCs w:val="24"/>
          <w:lang w:val="en-ID"/>
        </w:rPr>
        <w:t>and</w:t>
      </w:r>
      <w:r w:rsidR="00AA099C" w:rsidRPr="00AA099C">
        <w:rPr>
          <w:rFonts w:ascii="Times New Roman" w:eastAsia="Times New Roman" w:hAnsi="Times New Roman"/>
          <w:sz w:val="24"/>
          <w:szCs w:val="24"/>
          <w:lang w:val="en-ID"/>
        </w:rPr>
        <w:t xml:space="preserve"> Afifah </w:t>
      </w:r>
      <w:r w:rsidR="00AA099C">
        <w:rPr>
          <w:rFonts w:ascii="Times New Roman" w:eastAsia="Times New Roman" w:hAnsi="Times New Roman"/>
          <w:sz w:val="24"/>
          <w:szCs w:val="24"/>
          <w:lang w:val="en-ID"/>
        </w:rPr>
        <w:t>(</w:t>
      </w:r>
      <w:r w:rsidR="00AA099C" w:rsidRPr="00AA099C">
        <w:rPr>
          <w:rFonts w:ascii="Times New Roman" w:eastAsia="Times New Roman" w:hAnsi="Times New Roman"/>
          <w:sz w:val="24"/>
          <w:szCs w:val="24"/>
          <w:lang w:val="en-ID"/>
        </w:rPr>
        <w:t>2022)</w:t>
      </w:r>
      <w:r w:rsidR="00AA099C">
        <w:rPr>
          <w:rFonts w:ascii="Times New Roman" w:eastAsia="Times New Roman" w:hAnsi="Times New Roman"/>
          <w:sz w:val="24"/>
          <w:szCs w:val="24"/>
          <w:lang w:val="en-ID"/>
        </w:rPr>
        <w:fldChar w:fldCharType="end"/>
      </w:r>
      <w:r w:rsidRPr="00FB7B23">
        <w:rPr>
          <w:rFonts w:ascii="Times New Roman" w:eastAsia="Times New Roman" w:hAnsi="Times New Roman"/>
          <w:sz w:val="24"/>
          <w:szCs w:val="24"/>
          <w:lang w:val="en-ID"/>
        </w:rPr>
        <w:t xml:space="preserve"> similarly note that uneven teacher familiarity with integrating e-portfolios into daily practice constrains adoption regardless of the instrument's conceptual merit, which points toward sustained, practice-embedded professional development rather than one-off training sessions. The third challenge is the additional time burden portfolios place on both students and teachers relative to a single test; the most workable solution remains integrating portfolio work into existing instructional time rather than treating it as a parallel obligation layered on top of the regular curriculum. The fourth challenge concerns validity and reliability when portfolios are used for summative purposes, since their qualitative and judgment-based nature makes them inherently less standardized than a fixed-answer test; detailed analytic rubrics, regular inter-rater calibration among teachers, and combining portfolio evidence with other assessment forms are the safeguards the literature consistently recommends.</w:t>
      </w:r>
    </w:p>
    <w:p w14:paraId="2F2B88D5" w14:textId="2C0E9916" w:rsidR="00FB7B23" w:rsidRPr="00FB7B23" w:rsidRDefault="002C0006" w:rsidP="002C0006">
      <w:pPr>
        <w:spacing w:after="160" w:line="259" w:lineRule="auto"/>
        <w:jc w:val="left"/>
        <w:rPr>
          <w:rFonts w:ascii="Times New Roman" w:eastAsia="Times New Roman" w:hAnsi="Times New Roman"/>
          <w:sz w:val="24"/>
          <w:szCs w:val="24"/>
          <w:lang w:val="en-ID"/>
        </w:rPr>
      </w:pPr>
      <w:r>
        <w:rPr>
          <w:rFonts w:ascii="Times New Roman" w:eastAsia="Times New Roman" w:hAnsi="Times New Roman"/>
          <w:sz w:val="24"/>
          <w:szCs w:val="24"/>
          <w:lang w:val="en-ID"/>
        </w:rPr>
        <w:br w:type="page"/>
      </w:r>
    </w:p>
    <w:p w14:paraId="6FEB6A41" w14:textId="77777777" w:rsidR="00FB7B23" w:rsidRPr="00FB7B23" w:rsidRDefault="00FB7B23" w:rsidP="009170C4">
      <w:pPr>
        <w:spacing w:before="240" w:line="276" w:lineRule="auto"/>
        <w:jc w:val="both"/>
        <w:rPr>
          <w:rFonts w:ascii="Times New Roman" w:eastAsia="Times New Roman" w:hAnsi="Times New Roman"/>
          <w:sz w:val="24"/>
          <w:szCs w:val="24"/>
          <w:lang w:val="en-ID"/>
        </w:rPr>
      </w:pPr>
      <w:r w:rsidRPr="00FB7B23">
        <w:rPr>
          <w:rFonts w:ascii="Times New Roman" w:eastAsia="Times New Roman" w:hAnsi="Times New Roman"/>
          <w:b/>
          <w:bCs/>
          <w:sz w:val="24"/>
          <w:szCs w:val="24"/>
          <w:lang w:val="en-ID"/>
        </w:rPr>
        <w:lastRenderedPageBreak/>
        <w:t>Recommendations for Implementation in Educational Institutions</w:t>
      </w:r>
    </w:p>
    <w:p w14:paraId="35582178" w14:textId="46BFBFF6" w:rsidR="00FB7B23" w:rsidRPr="00FB7B23" w:rsidRDefault="00FB7B23" w:rsidP="00FB7B23">
      <w:pPr>
        <w:spacing w:line="276" w:lineRule="auto"/>
        <w:ind w:firstLine="567"/>
        <w:jc w:val="both"/>
        <w:rPr>
          <w:rFonts w:ascii="Times New Roman" w:eastAsia="Times New Roman" w:hAnsi="Times New Roman"/>
          <w:sz w:val="24"/>
          <w:szCs w:val="24"/>
          <w:lang w:val="en-ID"/>
        </w:rPr>
      </w:pPr>
      <w:r w:rsidRPr="00FB7B23">
        <w:rPr>
          <w:rFonts w:ascii="Times New Roman" w:eastAsia="Times New Roman" w:hAnsi="Times New Roman"/>
          <w:sz w:val="24"/>
          <w:szCs w:val="24"/>
          <w:lang w:val="en-ID"/>
        </w:rPr>
        <w:t xml:space="preserve">Four recommendations follow directly from the challenges identified above. Schools should begin with small-scale, phased implementation; </w:t>
      </w:r>
      <w:r w:rsidR="00AA099C">
        <w:rPr>
          <w:rFonts w:ascii="Times New Roman" w:eastAsia="Times New Roman" w:hAnsi="Times New Roman"/>
          <w:sz w:val="24"/>
          <w:szCs w:val="24"/>
          <w:lang w:val="en-ID"/>
        </w:rPr>
        <w:fldChar w:fldCharType="begin" w:fldLock="1"/>
      </w:r>
      <w:r w:rsidR="00AA099C">
        <w:rPr>
          <w:rFonts w:ascii="Times New Roman" w:eastAsia="Times New Roman" w:hAnsi="Times New Roman"/>
          <w:sz w:val="24"/>
          <w:szCs w:val="24"/>
          <w:lang w:val="en-ID"/>
        </w:rPr>
        <w:instrText>ADDIN CSL_CITATION {"citationItems":[{"id":"ITEM-1","itemData":{"ISSN":"2829-3681","abstract":"Dalam suatu pembelajan selalu dibutuhkan lembar kerja peserta didik digunakan sebagai pengukuran tingkat pemahaman dan ketuntasan belajar peserta didik.&amp;nbsp; Portofolio merupakan salah satu bentuk LKPD. Secara umum, portofolio merupakan kumpulan dokumen berupa objek penilaian yang dipakai oleh seseorang, kelompok, lembaga, organisasi atau perusahaan yang bertujuan untuk mendokumentasikan dan menilai perkembangan suatu proses, Adapun tujuan dari penelitian pengembangan ini adalah untuk :1) Mendeskripsikan prosedural dan konseptual dari pengembangan portofolio digital&amp;nbsp; siswa kelas V SDN Bulukerto 01 Kota Batu melalui media canva dan youtube Tahun 2022/ 2023. 2). Mengetahui validitas dari produk pengembangan portofolio digital&amp;nbsp; untuk meningkatkan prestasi peserta didik.. 3). Menganalisis hasil uji coba produk pengembangan portofolio digital untuk meningkatkan prestasi peserta didik. 4). Mengetahui efektifitas pengembangan portofolio digital untuk meningkatkan prestasi kelas V SDN Bulukerto 01 Kota Batu Tahun 2022/ 2023. Penelitian pengembangan ini telah dilakukan berdasarkan pada aspek teoritis dan empiris merupakan model penelitian dan pengembangan ADDIE (Analyze – Design – Develop – Implement - Evaluate) berdasar teorinya Branch (2009). Produk pengembangan pada penelitian ini terdiri dari: Portofolio digital,RPP, Bahan ajar Pendapatan Nasional, lembar kegiatan penilaian diri siswa, dan evaluasi&amp;nbsp; Produk pengembangan tersebut telah melalui proses validasi oleh ahli penelitian pengembangan dan ahli bidang media. Validasi ini dijadikan acuan untuk memperbaiki dan merevisi produk pengembangan dalam penelitian ini. Produk yang dikembangkan dalam penelitian ini telah mengalami revisi, selanjutnya diuji cobakan melalui ujicoba perorangan, uji coba kelompok kecil dan uji coba, dan kelompok besar. Berdasarkan hasil uji coba produk, model pengembangan portofolio digital siswa kelas V SDN Bulukerto 01 melalui media youtube dan canva Tahun pelajaran 2022/2023 dianggap baik dan tepat untuk diaplikasikan dengan skor efektivitas 83,03.","author":[{"dropping-particle":"","family":"Adrianik","given":"Ika Catur","non-dropping-particle":"","parse-names":false,"suffix":""}],"container-title":"Jurnal Pendidikan Taman Widya Humaniora","id":"ITEM-1","issue":"4","issued":{"date-parts":[["2023","7","8"]]},"page":"1970-1994","title":"PENGEMBANGAN PORTOFOLIO DIGITAL MELALUI MEDIA CANVA DAN YOUTUBE PADA PEMBELAJARAN SISWA KELAS V  SDN BULUKERTO 01 BATU TAHUN PELAJARAN 2022/2023","type":"article-journal","volume":"2"},"uris":["http://www.mendeley.com/documents/?uuid=b801f3d7-87c0-327a-8de1-aceb072f28a7"]}],"mendeley":{"formattedCitation":"(Adrianik, 2023)","manualFormatting":"Adrianik (2023)","plainTextFormattedCitation":"(Adrianik, 2023)","previouslyFormattedCitation":"(Adrianik, 2023)"},"properties":{"noteIndex":0},"schema":"https://github.com/citation-style-language/schema/raw/master/csl-citation.json"}</w:instrText>
      </w:r>
      <w:r w:rsidR="00AA099C">
        <w:rPr>
          <w:rFonts w:ascii="Times New Roman" w:eastAsia="Times New Roman" w:hAnsi="Times New Roman"/>
          <w:sz w:val="24"/>
          <w:szCs w:val="24"/>
          <w:lang w:val="en-ID"/>
        </w:rPr>
        <w:fldChar w:fldCharType="separate"/>
      </w:r>
      <w:r w:rsidR="00AA099C" w:rsidRPr="00AA099C">
        <w:rPr>
          <w:rFonts w:ascii="Times New Roman" w:eastAsia="Times New Roman" w:hAnsi="Times New Roman"/>
          <w:sz w:val="24"/>
          <w:szCs w:val="24"/>
          <w:lang w:val="en-ID"/>
        </w:rPr>
        <w:t xml:space="preserve">Adrianik </w:t>
      </w:r>
      <w:r w:rsidR="00AA099C">
        <w:rPr>
          <w:rFonts w:ascii="Times New Roman" w:eastAsia="Times New Roman" w:hAnsi="Times New Roman"/>
          <w:sz w:val="24"/>
          <w:szCs w:val="24"/>
          <w:lang w:val="en-ID"/>
        </w:rPr>
        <w:t>(</w:t>
      </w:r>
      <w:r w:rsidR="00AA099C" w:rsidRPr="00AA099C">
        <w:rPr>
          <w:rFonts w:ascii="Times New Roman" w:eastAsia="Times New Roman" w:hAnsi="Times New Roman"/>
          <w:sz w:val="24"/>
          <w:szCs w:val="24"/>
          <w:lang w:val="en-ID"/>
        </w:rPr>
        <w:t>2023)</w:t>
      </w:r>
      <w:r w:rsidR="00AA099C">
        <w:rPr>
          <w:rFonts w:ascii="Times New Roman" w:eastAsia="Times New Roman" w:hAnsi="Times New Roman"/>
          <w:sz w:val="24"/>
          <w:szCs w:val="24"/>
          <w:lang w:val="en-ID"/>
        </w:rPr>
        <w:fldChar w:fldCharType="end"/>
      </w:r>
      <w:r w:rsidR="00AA099C">
        <w:rPr>
          <w:rFonts w:ascii="Times New Roman" w:eastAsia="Times New Roman" w:hAnsi="Times New Roman"/>
          <w:sz w:val="24"/>
          <w:szCs w:val="24"/>
          <w:lang w:val="en-ID"/>
        </w:rPr>
        <w:t xml:space="preserve"> </w:t>
      </w:r>
      <w:r w:rsidRPr="00FB7B23">
        <w:rPr>
          <w:rFonts w:ascii="Times New Roman" w:eastAsia="Times New Roman" w:hAnsi="Times New Roman"/>
          <w:sz w:val="24"/>
          <w:szCs w:val="24"/>
          <w:lang w:val="en-ID"/>
        </w:rPr>
        <w:t>specifically found that trialing at individual, small-group, and large-group scale before full rollout allowed for adjustment based on real user feedback, rather than committing every class to digital portfolios simultaneously. Students should be involved from the outset in shaping the portfolio's selection criteria, reflection format, and goals; this is the same self-positioning principle identified earlier as the mechanism through which portfolios produce their reflective benefit, and it cannot be retrofitted after a rigid structure has already been imposed from above. Schools should cultivate a teacher learning community that meets regularly to share implementation experience, since</w:t>
      </w:r>
      <w:r w:rsidR="00AA099C">
        <w:rPr>
          <w:rFonts w:ascii="Times New Roman" w:eastAsia="Times New Roman" w:hAnsi="Times New Roman"/>
          <w:sz w:val="24"/>
          <w:szCs w:val="24"/>
          <w:lang w:val="en-ID"/>
        </w:rPr>
        <w:t xml:space="preserve"> </w:t>
      </w:r>
      <w:r w:rsidR="00AA099C">
        <w:rPr>
          <w:rFonts w:ascii="Times New Roman" w:eastAsia="Times New Roman" w:hAnsi="Times New Roman"/>
          <w:sz w:val="24"/>
          <w:szCs w:val="24"/>
          <w:lang w:val="en-ID"/>
        </w:rPr>
        <w:fldChar w:fldCharType="begin" w:fldLock="1"/>
      </w:r>
      <w:r w:rsidR="00AA099C">
        <w:rPr>
          <w:rFonts w:ascii="Times New Roman" w:eastAsia="Times New Roman" w:hAnsi="Times New Roman"/>
          <w:sz w:val="24"/>
          <w:szCs w:val="24"/>
          <w:lang w:val="en-ID"/>
        </w:rPr>
        <w:instrText>ADDIN CSL_CITATION {"citationItems":[{"id":"ITEM-1","itemData":{"DOI":"10.31004/basicedu.v6i2.2236","ISSN":"2580-1147","abstract":"Sejalan dengan perkembangan zaman, terlihat adanya peningkatan dalam penggunaan teknologi digital. Salah satunya dalam dunia pendidikan, baik dalam perencaan pembelajaran, kegiatan pembelajaran, hingga penilaian dan evaluasi pembelajaran sudah beralih menggunakan media digital. Elektronik portofolio menjadi salah satu wujud dari digitalisasi tersebut. Tujuan penelitian ini adalah untuk mengetahui pemanfaatan elektronik portofolio sebagai instrument penilaian pembelajaran siswa pada era digital. Penelitian ini menggunakan metode penelitian kualitatif dengan jenis pendekatan studi pustaka (library research). Hasil penelitian ini menyatakan bahwa penggunaan elektronik portofolio dapat membuat penilaian pembelajaran dan pencapaian siswa menjadi lebih efektif, efisien, dan lebih praktis. Selain itu, dibandingkan dengan portofolio konvensional berbasis kertas, elektronik portofolio lebih fleksibel karena dapat diakses kapan saja dan dimana saja hal tersebut karena e-portofolio memungkinkan akses jaringan dan koneksi yang lebih luas, penilaian yang lebih inovatif dan bervariasi, serta memungkinkan adanya kolaborasi antar siswa.","author":[{"dropping-particle":"","family":"Masluhah","given":"Masluhah","non-dropping-particle":"","parse-names":false,"suffix":""},{"dropping-particle":"","family":"Afifah","given":"Kiki Rizkiatul","non-dropping-particle":"","parse-names":false,"suffix":""}],"container-title":"Jurnal Basicedu","id":"ITEM-1","issue":"2","issued":{"date-parts":[["2022","2","9"]]},"page":"1883-1896","title":"Electronic Portofolio Sebagai Instrumen Penilaian Pembelajaran Siswa di Era Digital","type":"article-journal","volume":"6"},"uris":["http://www.mendeley.com/documents/?uuid=fd8a9803-dbdf-498f-9217-9c5ac0ca4591"]}],"mendeley":{"formattedCitation":"(Masluhah &amp; Afifah, 2022)","manualFormatting":"Masluhah and Afifah (2022)","plainTextFormattedCitation":"(Masluhah &amp; Afifah, 2022)","previouslyFormattedCitation":"(Masluhah &amp; Afifah, 2022)"},"properties":{"noteIndex":0},"schema":"https://github.com/citation-style-language/schema/raw/master/csl-citation.json"}</w:instrText>
      </w:r>
      <w:r w:rsidR="00AA099C">
        <w:rPr>
          <w:rFonts w:ascii="Times New Roman" w:eastAsia="Times New Roman" w:hAnsi="Times New Roman"/>
          <w:sz w:val="24"/>
          <w:szCs w:val="24"/>
          <w:lang w:val="en-ID"/>
        </w:rPr>
        <w:fldChar w:fldCharType="separate"/>
      </w:r>
      <w:r w:rsidR="00AA099C" w:rsidRPr="00AA099C">
        <w:rPr>
          <w:rFonts w:ascii="Times New Roman" w:eastAsia="Times New Roman" w:hAnsi="Times New Roman"/>
          <w:sz w:val="24"/>
          <w:szCs w:val="24"/>
          <w:lang w:val="en-ID"/>
        </w:rPr>
        <w:t xml:space="preserve">Masluhah </w:t>
      </w:r>
      <w:r w:rsidR="00AA099C">
        <w:rPr>
          <w:rFonts w:ascii="Times New Roman" w:eastAsia="Times New Roman" w:hAnsi="Times New Roman"/>
          <w:sz w:val="24"/>
          <w:szCs w:val="24"/>
          <w:lang w:val="en-ID"/>
        </w:rPr>
        <w:t>and</w:t>
      </w:r>
      <w:r w:rsidR="00AA099C" w:rsidRPr="00AA099C">
        <w:rPr>
          <w:rFonts w:ascii="Times New Roman" w:eastAsia="Times New Roman" w:hAnsi="Times New Roman"/>
          <w:sz w:val="24"/>
          <w:szCs w:val="24"/>
          <w:lang w:val="en-ID"/>
        </w:rPr>
        <w:t xml:space="preserve"> Afifah </w:t>
      </w:r>
      <w:r w:rsidR="00AA099C">
        <w:rPr>
          <w:rFonts w:ascii="Times New Roman" w:eastAsia="Times New Roman" w:hAnsi="Times New Roman"/>
          <w:sz w:val="24"/>
          <w:szCs w:val="24"/>
          <w:lang w:val="en-ID"/>
        </w:rPr>
        <w:t>(</w:t>
      </w:r>
      <w:r w:rsidR="00AA099C" w:rsidRPr="00AA099C">
        <w:rPr>
          <w:rFonts w:ascii="Times New Roman" w:eastAsia="Times New Roman" w:hAnsi="Times New Roman"/>
          <w:sz w:val="24"/>
          <w:szCs w:val="24"/>
          <w:lang w:val="en-ID"/>
        </w:rPr>
        <w:t>2022)</w:t>
      </w:r>
      <w:r w:rsidR="00AA099C">
        <w:rPr>
          <w:rFonts w:ascii="Times New Roman" w:eastAsia="Times New Roman" w:hAnsi="Times New Roman"/>
          <w:sz w:val="24"/>
          <w:szCs w:val="24"/>
          <w:lang w:val="en-ID"/>
        </w:rPr>
        <w:fldChar w:fldCharType="end"/>
      </w:r>
      <w:r w:rsidRPr="00FB7B23">
        <w:rPr>
          <w:rFonts w:ascii="Times New Roman" w:eastAsia="Times New Roman" w:hAnsi="Times New Roman"/>
          <w:sz w:val="24"/>
          <w:szCs w:val="24"/>
          <w:lang w:val="en-ID"/>
        </w:rPr>
        <w:t xml:space="preserve"> found that sustained professional collaboration, not isolated training events, is what allows e-portfolio practice to remain consistent and high-quality over time. Finally, schools should orient parents early, since one of the digital portfolio's distinguishing advantages is precisely that it can bring parents closer to a child's ongoing learning process in a way paper-based, episodic reporting cannot.</w:t>
      </w:r>
    </w:p>
    <w:p w14:paraId="1BCB2EFF" w14:textId="04973F38" w:rsidR="00FB7B23" w:rsidRPr="00FB7B23" w:rsidRDefault="00FB7B23" w:rsidP="00FB7B23">
      <w:pPr>
        <w:spacing w:line="276" w:lineRule="auto"/>
        <w:ind w:firstLine="567"/>
        <w:jc w:val="both"/>
        <w:rPr>
          <w:rFonts w:ascii="Times New Roman" w:eastAsia="Times New Roman" w:hAnsi="Times New Roman"/>
          <w:sz w:val="24"/>
          <w:szCs w:val="24"/>
          <w:lang w:val="en-ID"/>
        </w:rPr>
      </w:pPr>
      <w:r w:rsidRPr="00FB7B23">
        <w:rPr>
          <w:rFonts w:ascii="Times New Roman" w:eastAsia="Times New Roman" w:hAnsi="Times New Roman"/>
          <w:sz w:val="24"/>
          <w:szCs w:val="24"/>
          <w:lang w:val="en-ID"/>
        </w:rPr>
        <w:t>The arguments developed above stand in three distinct relationships to the studies introduced earlier in this article, and distinguishing between them sharpens rather than dilutes the contribution of this review. Where</w:t>
      </w:r>
      <w:r w:rsidR="00AA099C">
        <w:rPr>
          <w:rFonts w:ascii="Times New Roman" w:eastAsia="Times New Roman" w:hAnsi="Times New Roman"/>
          <w:sz w:val="24"/>
          <w:szCs w:val="24"/>
          <w:lang w:val="en-ID"/>
        </w:rPr>
        <w:t xml:space="preserve"> </w:t>
      </w:r>
      <w:r w:rsidR="00AA099C">
        <w:rPr>
          <w:rFonts w:ascii="Times New Roman" w:eastAsia="Times New Roman" w:hAnsi="Times New Roman"/>
          <w:sz w:val="24"/>
          <w:szCs w:val="24"/>
          <w:lang w:val="en-ID"/>
        </w:rPr>
        <w:fldChar w:fldCharType="begin" w:fldLock="1"/>
      </w:r>
      <w:r w:rsidR="00AA099C">
        <w:rPr>
          <w:rFonts w:ascii="Times New Roman" w:eastAsia="Times New Roman" w:hAnsi="Times New Roman"/>
          <w:sz w:val="24"/>
          <w:szCs w:val="24"/>
          <w:lang w:val="en-ID"/>
        </w:rPr>
        <w:instrText>ADDIN CSL_CITATION {"citationItems":[{"id":"ITEM-1","itemData":{"DOI":"10.1177/21582440241257697","ISSN":"2158-2440","abstract":"This research sought to examine the impact of electronic portfolio -based writing instruction on the second language writing performance and writing self-efficacy of Chinese English as a foreign language (EFL) learners. A total of 64 participants were divided into two groups, an experimental group ( n = 31) and a control group ( n = 33). The experimental group was given electronic portfolio-based instruction via Edmodo platform, while the control group received only traditional in-class writing instruction without the use of Edmodo. Two sample IELTS tasks and Writing Self-efficacy scale were administered to collect the quantitative data. Further, semi-structured interviews were carried out with participants in the experimental group to gather qualitative data on their perceptions and experiences with electronic portfolio-based writing instruction. The results of paired samples t-tests and ANCOVAs indicated that electronic portfolio-based writing instruction significantly improved global writing performance and its underlying components, namely content, organization, language use, vocabulary, and mechanics, as well as the writing self-efficacy of Chinese EFL learners. Qualitative results revealed several themes, including increased motivation, improved feedback, enhanced collaboration, improved writing skills, and increased writing self-efficacy. Overall, the study demonstrates that electronic portfolio can be a valuable tool for EFL writing instruction and has a positive impact on writing performance and writing self-efficacy for Chinese EFL learners.","author":[{"dropping-particle":"","family":"Guo","given":"Hongyu","non-dropping-particle":"","parse-names":false,"suffix":""},{"dropping-particle":"","family":"Li","given":"Dandi","non-dropping-particle":"","parse-names":false,"suffix":""}],"container-title":"Sage Open","id":"ITEM-1","issue":"2","issued":{"date-parts":[["2024","4","24"]]},"title":"The Effect of Electronic Portfolio-Based Writing Instruction on the Second Language Writing Performance and Writing Self-Efficacy of EFL Learners: A Mixed Methods Study","type":"article-journal","volume":"14"},"uris":["http://www.mendeley.com/documents/?uuid=77a5a305-8b6a-4b99-85cc-5c8585f61bdd"]}],"mendeley":{"formattedCitation":"(Guo &amp; Li, 2024)","manualFormatting":"Guo and Li (2024)","plainTextFormattedCitation":"(Guo &amp; Li, 2024)","previouslyFormattedCitation":"(Guo &amp; Li, 2024)"},"properties":{"noteIndex":0},"schema":"https://github.com/citation-style-language/schema/raw/master/csl-citation.json"}</w:instrText>
      </w:r>
      <w:r w:rsidR="00AA099C">
        <w:rPr>
          <w:rFonts w:ascii="Times New Roman" w:eastAsia="Times New Roman" w:hAnsi="Times New Roman"/>
          <w:sz w:val="24"/>
          <w:szCs w:val="24"/>
          <w:lang w:val="en-ID"/>
        </w:rPr>
        <w:fldChar w:fldCharType="separate"/>
      </w:r>
      <w:r w:rsidR="00AA099C" w:rsidRPr="00AA099C">
        <w:rPr>
          <w:rFonts w:ascii="Times New Roman" w:eastAsia="Times New Roman" w:hAnsi="Times New Roman"/>
          <w:sz w:val="24"/>
          <w:szCs w:val="24"/>
          <w:lang w:val="en-ID"/>
        </w:rPr>
        <w:t xml:space="preserve">Guo </w:t>
      </w:r>
      <w:r w:rsidR="00AA099C">
        <w:rPr>
          <w:rFonts w:ascii="Times New Roman" w:eastAsia="Times New Roman" w:hAnsi="Times New Roman"/>
          <w:sz w:val="24"/>
          <w:szCs w:val="24"/>
          <w:lang w:val="en-ID"/>
        </w:rPr>
        <w:t>and</w:t>
      </w:r>
      <w:r w:rsidR="00AA099C" w:rsidRPr="00AA099C">
        <w:rPr>
          <w:rFonts w:ascii="Times New Roman" w:eastAsia="Times New Roman" w:hAnsi="Times New Roman"/>
          <w:sz w:val="24"/>
          <w:szCs w:val="24"/>
          <w:lang w:val="en-ID"/>
        </w:rPr>
        <w:t xml:space="preserve"> Li </w:t>
      </w:r>
      <w:r w:rsidR="00AA099C">
        <w:rPr>
          <w:rFonts w:ascii="Times New Roman" w:eastAsia="Times New Roman" w:hAnsi="Times New Roman"/>
          <w:sz w:val="24"/>
          <w:szCs w:val="24"/>
          <w:lang w:val="en-ID"/>
        </w:rPr>
        <w:t>(</w:t>
      </w:r>
      <w:r w:rsidR="00AA099C" w:rsidRPr="00AA099C">
        <w:rPr>
          <w:rFonts w:ascii="Times New Roman" w:eastAsia="Times New Roman" w:hAnsi="Times New Roman"/>
          <w:sz w:val="24"/>
          <w:szCs w:val="24"/>
          <w:lang w:val="en-ID"/>
        </w:rPr>
        <w:t>2024)</w:t>
      </w:r>
      <w:r w:rsidR="00AA099C">
        <w:rPr>
          <w:rFonts w:ascii="Times New Roman" w:eastAsia="Times New Roman" w:hAnsi="Times New Roman"/>
          <w:sz w:val="24"/>
          <w:szCs w:val="24"/>
          <w:lang w:val="en-ID"/>
        </w:rPr>
        <w:fldChar w:fldCharType="end"/>
      </w:r>
      <w:r w:rsidRPr="00FB7B23">
        <w:rPr>
          <w:rFonts w:ascii="Times New Roman" w:eastAsia="Times New Roman" w:hAnsi="Times New Roman"/>
          <w:sz w:val="24"/>
          <w:szCs w:val="24"/>
          <w:lang w:val="en-ID"/>
        </w:rPr>
        <w:t xml:space="preserve"> controlled comparison found that electronic portfolio-based writing instruction produced statistically significant gains in both writing performance and writing self-efficacy relative to conventional instruction, and </w:t>
      </w:r>
      <w:r w:rsidR="00AA099C">
        <w:rPr>
          <w:rFonts w:ascii="Times New Roman" w:eastAsia="Times New Roman" w:hAnsi="Times New Roman"/>
          <w:sz w:val="24"/>
          <w:szCs w:val="24"/>
          <w:lang w:val="en-ID"/>
        </w:rPr>
        <w:fldChar w:fldCharType="begin" w:fldLock="1"/>
      </w:r>
      <w:r w:rsidR="00AA099C">
        <w:rPr>
          <w:rFonts w:ascii="Times New Roman" w:eastAsia="Times New Roman" w:hAnsi="Times New Roman"/>
          <w:sz w:val="24"/>
          <w:szCs w:val="24"/>
          <w:lang w:val="en-ID"/>
        </w:rPr>
        <w:instrText>ADDIN CSL_CITATION {"citationItems":[{"id":"ITEM-1","itemData":{"DOI":"10.3389/fpsyg.2022.1079385","ISSN":"1664-1078","abstract":"The reflective component of e-Portfolios is said to help students improve second or foreign language writing in terms of motivation and academic results. Despite this positive advocacy, scholars remain unclear about how e-Portfolios can develop students’ self-regulatory abilities in writing classrooms, especially when students engage in complex e-Portfolio construction processes with peers, parents, teachers, their community, digital tools, and online resources. Recently, researchers have argued that not only do e-Portfolios promote self-regulated learning, but they also support co-regulation of learning wherein the latter is socially mediated by curriculum design, instructional materials, and in-class interaction patterns. Indeed, students’ inner development of self-regulatory capacity is closely influenced by external forces, which deserve more scholarly investigation. The review fills this gap by emphasizing that besides self-regulated learning, e-Portfolios can support students’ co-regulation of learning by way of their connectivity, visibility, and circulation. This review has four sections. The first section defines key concepts, namely e-Portfolios, self-regulated, co-regulated, and socially shared-regulated learning, and introduces how e-Portfolios foster self-regulation of learning in second language writing. The second section unpacks two conceptual models that underpin self-regulated and co-regulated learning relating to e-Portfolios. The third section presents a brief review, showcasing how e-Portfolios featuring self-regulation of learning can also support co-regulation of learning. The final section recommends strategies that facilitate self-regulation and co-regulation of learning in e-Portfolios reciprocally, and discusses implications for pedagogy and research.","author":[{"dropping-particle":"","family":"Lam","given":"Ricky","non-dropping-particle":"","parse-names":false,"suffix":""}],"container-title":"Frontiers in Psychology","id":"ITEM-1","issued":{"date-parts":[["2022","11","21"]]},"title":"E-Portfolios for self-regulated and co-regulated learning: A review","type":"article-journal","volume":"13"},"uris":["http://www.mendeley.com/documents/?uuid=c215763e-54fa-4e29-8ad4-439195e0aa19"]}],"mendeley":{"formattedCitation":"(Lam, 2022)","manualFormatting":"Lam (2022)","plainTextFormattedCitation":"(Lam, 2022)","previouslyFormattedCitation":"(Lam, 2022)"},"properties":{"noteIndex":0},"schema":"https://github.com/citation-style-language/schema/raw/master/csl-citation.json"}</w:instrText>
      </w:r>
      <w:r w:rsidR="00AA099C">
        <w:rPr>
          <w:rFonts w:ascii="Times New Roman" w:eastAsia="Times New Roman" w:hAnsi="Times New Roman"/>
          <w:sz w:val="24"/>
          <w:szCs w:val="24"/>
          <w:lang w:val="en-ID"/>
        </w:rPr>
        <w:fldChar w:fldCharType="separate"/>
      </w:r>
      <w:r w:rsidR="00AA099C" w:rsidRPr="00AA099C">
        <w:rPr>
          <w:rFonts w:ascii="Times New Roman" w:eastAsia="Times New Roman" w:hAnsi="Times New Roman"/>
          <w:sz w:val="24"/>
          <w:szCs w:val="24"/>
          <w:lang w:val="en-ID"/>
        </w:rPr>
        <w:t xml:space="preserve">Lam </w:t>
      </w:r>
      <w:r w:rsidR="00AA099C">
        <w:rPr>
          <w:rFonts w:ascii="Times New Roman" w:eastAsia="Times New Roman" w:hAnsi="Times New Roman"/>
          <w:sz w:val="24"/>
          <w:szCs w:val="24"/>
          <w:lang w:val="en-ID"/>
        </w:rPr>
        <w:t>(</w:t>
      </w:r>
      <w:r w:rsidR="00AA099C" w:rsidRPr="00AA099C">
        <w:rPr>
          <w:rFonts w:ascii="Times New Roman" w:eastAsia="Times New Roman" w:hAnsi="Times New Roman"/>
          <w:sz w:val="24"/>
          <w:szCs w:val="24"/>
          <w:lang w:val="en-ID"/>
        </w:rPr>
        <w:t>2022)</w:t>
      </w:r>
      <w:r w:rsidR="00AA099C">
        <w:rPr>
          <w:rFonts w:ascii="Times New Roman" w:eastAsia="Times New Roman" w:hAnsi="Times New Roman"/>
          <w:sz w:val="24"/>
          <w:szCs w:val="24"/>
          <w:lang w:val="en-ID"/>
        </w:rPr>
        <w:fldChar w:fldCharType="end"/>
      </w:r>
      <w:r w:rsidRPr="00FB7B23">
        <w:rPr>
          <w:rFonts w:ascii="Times New Roman" w:eastAsia="Times New Roman" w:hAnsi="Times New Roman"/>
          <w:sz w:val="24"/>
          <w:szCs w:val="24"/>
          <w:lang w:val="en-ID"/>
        </w:rPr>
        <w:t xml:space="preserve"> established that e-portfolios support co-regulated as well as self-regulated learning through teacher and peer mediation, the present synthesis is directly supported by both: the urgency argument constructed here, spanning process documentation, ongoing reflection, and multi-party feedback, restates in conceptual form precisely the mechanisms that</w:t>
      </w:r>
      <w:r w:rsidR="00AA099C">
        <w:rPr>
          <w:rFonts w:ascii="Times New Roman" w:eastAsia="Times New Roman" w:hAnsi="Times New Roman"/>
          <w:sz w:val="24"/>
          <w:szCs w:val="24"/>
          <w:lang w:val="en-ID"/>
        </w:rPr>
        <w:t xml:space="preserve"> </w:t>
      </w:r>
      <w:r w:rsidR="00AA099C">
        <w:rPr>
          <w:rFonts w:ascii="Times New Roman" w:eastAsia="Times New Roman" w:hAnsi="Times New Roman"/>
          <w:sz w:val="24"/>
          <w:szCs w:val="24"/>
          <w:lang w:val="en-ID"/>
        </w:rPr>
        <w:fldChar w:fldCharType="begin" w:fldLock="1"/>
      </w:r>
      <w:r w:rsidR="00AA099C">
        <w:rPr>
          <w:rFonts w:ascii="Times New Roman" w:eastAsia="Times New Roman" w:hAnsi="Times New Roman"/>
          <w:sz w:val="24"/>
          <w:szCs w:val="24"/>
          <w:lang w:val="en-ID"/>
        </w:rPr>
        <w:instrText>ADDIN CSL_CITATION {"citationItems":[{"id":"ITEM-1","itemData":{"DOI":"10.1177/21582440241257697","ISSN":"2158-2440","abstract":"This research sought to examine the impact of electronic portfolio -based writing instruction on the second language writing performance and writing self-efficacy of Chinese English as a foreign language (EFL) learners. A total of 64 participants were divided into two groups, an experimental group ( n = 31) and a control group ( n = 33). The experimental group was given electronic portfolio-based instruction via Edmodo platform, while the control group received only traditional in-class writing instruction without the use of Edmodo. Two sample IELTS tasks and Writing Self-efficacy scale were administered to collect the quantitative data. Further, semi-structured interviews were carried out with participants in the experimental group to gather qualitative data on their perceptions and experiences with electronic portfolio-based writing instruction. The results of paired samples t-tests and ANCOVAs indicated that electronic portfolio-based writing instruction significantly improved global writing performance and its underlying components, namely content, organization, language use, vocabulary, and mechanics, as well as the writing self-efficacy of Chinese EFL learners. Qualitative results revealed several themes, including increased motivation, improved feedback, enhanced collaboration, improved writing skills, and increased writing self-efficacy. Overall, the study demonstrates that electronic portfolio can be a valuable tool for EFL writing instruction and has a positive impact on writing performance and writing self-efficacy for Chinese EFL learners.","author":[{"dropping-particle":"","family":"Guo","given":"Hongyu","non-dropping-particle":"","parse-names":false,"suffix":""},{"dropping-particle":"","family":"Li","given":"Dandi","non-dropping-particle":"","parse-names":false,"suffix":""}],"container-title":"Sage Open","id":"ITEM-1","issue":"2","issued":{"date-parts":[["2024","4","24"]]},"title":"The Effect of Electronic Portfolio-Based Writing Instruction on the Second Language Writing Performance and Writing Self-Efficacy of EFL Learners: A Mixed Methods Study","type":"article-journal","volume":"14"},"uris":["http://www.mendeley.com/documents/?uuid=77a5a305-8b6a-4b99-85cc-5c8585f61bdd"]}],"mendeley":{"formattedCitation":"(Guo &amp; Li, 2024)","manualFormatting":"Guo and Li (2024)","plainTextFormattedCitation":"(Guo &amp; Li, 2024)","previouslyFormattedCitation":"(Guo &amp; Li, 2024)"},"properties":{"noteIndex":0},"schema":"https://github.com/citation-style-language/schema/raw/master/csl-citation.json"}</w:instrText>
      </w:r>
      <w:r w:rsidR="00AA099C">
        <w:rPr>
          <w:rFonts w:ascii="Times New Roman" w:eastAsia="Times New Roman" w:hAnsi="Times New Roman"/>
          <w:sz w:val="24"/>
          <w:szCs w:val="24"/>
          <w:lang w:val="en-ID"/>
        </w:rPr>
        <w:fldChar w:fldCharType="separate"/>
      </w:r>
      <w:r w:rsidR="00AA099C" w:rsidRPr="00AA099C">
        <w:rPr>
          <w:rFonts w:ascii="Times New Roman" w:eastAsia="Times New Roman" w:hAnsi="Times New Roman"/>
          <w:sz w:val="24"/>
          <w:szCs w:val="24"/>
          <w:lang w:val="en-ID"/>
        </w:rPr>
        <w:t xml:space="preserve">Guo </w:t>
      </w:r>
      <w:r w:rsidR="00AA099C">
        <w:rPr>
          <w:rFonts w:ascii="Times New Roman" w:eastAsia="Times New Roman" w:hAnsi="Times New Roman"/>
          <w:sz w:val="24"/>
          <w:szCs w:val="24"/>
          <w:lang w:val="en-ID"/>
        </w:rPr>
        <w:t>and</w:t>
      </w:r>
      <w:r w:rsidR="00AA099C" w:rsidRPr="00AA099C">
        <w:rPr>
          <w:rFonts w:ascii="Times New Roman" w:eastAsia="Times New Roman" w:hAnsi="Times New Roman"/>
          <w:sz w:val="24"/>
          <w:szCs w:val="24"/>
          <w:lang w:val="en-ID"/>
        </w:rPr>
        <w:t xml:space="preserve"> Li </w:t>
      </w:r>
      <w:r w:rsidR="00AA099C">
        <w:rPr>
          <w:rFonts w:ascii="Times New Roman" w:eastAsia="Times New Roman" w:hAnsi="Times New Roman"/>
          <w:sz w:val="24"/>
          <w:szCs w:val="24"/>
          <w:lang w:val="en-ID"/>
        </w:rPr>
        <w:t>(</w:t>
      </w:r>
      <w:r w:rsidR="00AA099C" w:rsidRPr="00AA099C">
        <w:rPr>
          <w:rFonts w:ascii="Times New Roman" w:eastAsia="Times New Roman" w:hAnsi="Times New Roman"/>
          <w:sz w:val="24"/>
          <w:szCs w:val="24"/>
          <w:lang w:val="en-ID"/>
        </w:rPr>
        <w:t>2024)</w:t>
      </w:r>
      <w:r w:rsidR="00AA099C">
        <w:rPr>
          <w:rFonts w:ascii="Times New Roman" w:eastAsia="Times New Roman" w:hAnsi="Times New Roman"/>
          <w:sz w:val="24"/>
          <w:szCs w:val="24"/>
          <w:lang w:val="en-ID"/>
        </w:rPr>
        <w:fldChar w:fldCharType="end"/>
      </w:r>
      <w:r w:rsidRPr="00FB7B23">
        <w:rPr>
          <w:rFonts w:ascii="Times New Roman" w:eastAsia="Times New Roman" w:hAnsi="Times New Roman"/>
          <w:sz w:val="24"/>
          <w:szCs w:val="24"/>
          <w:lang w:val="en-ID"/>
        </w:rPr>
        <w:t xml:space="preserve"> tested empirically and that </w:t>
      </w:r>
      <w:r w:rsidR="00AA099C">
        <w:rPr>
          <w:rFonts w:ascii="Times New Roman" w:eastAsia="Times New Roman" w:hAnsi="Times New Roman"/>
          <w:sz w:val="24"/>
          <w:szCs w:val="24"/>
          <w:lang w:val="en-ID"/>
        </w:rPr>
        <w:fldChar w:fldCharType="begin" w:fldLock="1"/>
      </w:r>
      <w:r w:rsidR="00AA099C">
        <w:rPr>
          <w:rFonts w:ascii="Times New Roman" w:eastAsia="Times New Roman" w:hAnsi="Times New Roman"/>
          <w:sz w:val="24"/>
          <w:szCs w:val="24"/>
          <w:lang w:val="en-ID"/>
        </w:rPr>
        <w:instrText>ADDIN CSL_CITATION {"citationItems":[{"id":"ITEM-1","itemData":{"DOI":"10.3389/fpsyg.2022.1079385","ISSN":"1664-1078","abstract":"The reflective component of e-Portfolios is said to help students improve second or foreign language writing in terms of motivation and academic results. Despite this positive advocacy, scholars remain unclear about how e-Portfolios can develop students’ self-regulatory abilities in writing classrooms, especially when students engage in complex e-Portfolio construction processes with peers, parents, teachers, their community, digital tools, and online resources. Recently, researchers have argued that not only do e-Portfolios promote self-regulated learning, but they also support co-regulation of learning wherein the latter is socially mediated by curriculum design, instructional materials, and in-class interaction patterns. Indeed, students’ inner development of self-regulatory capacity is closely influenced by external forces, which deserve more scholarly investigation. The review fills this gap by emphasizing that besides self-regulated learning, e-Portfolios can support students’ co-regulation of learning by way of their connectivity, visibility, and circulation. This review has four sections. The first section defines key concepts, namely e-Portfolios, self-regulated, co-regulated, and socially shared-regulated learning, and introduces how e-Portfolios foster self-regulation of learning in second language writing. The second section unpacks two conceptual models that underpin self-regulated and co-regulated learning relating to e-Portfolios. The third section presents a brief review, showcasing how e-Portfolios featuring self-regulation of learning can also support co-regulation of learning. The final section recommends strategies that facilitate self-regulation and co-regulation of learning in e-Portfolios reciprocally, and discusses implications for pedagogy and research.","author":[{"dropping-particle":"","family":"Lam","given":"Ricky","non-dropping-particle":"","parse-names":false,"suffix":""}],"container-title":"Frontiers in Psychology","id":"ITEM-1","issued":{"date-parts":[["2022","11","21"]]},"title":"E-Portfolios for self-regulated and co-regulated learning: A review","type":"article-journal","volume":"13"},"uris":["http://www.mendeley.com/documents/?uuid=c215763e-54fa-4e29-8ad4-439195e0aa19"]}],"mendeley":{"formattedCitation":"(Lam, 2022)","manualFormatting":"Lam (2022)","plainTextFormattedCitation":"(Lam, 2022)","previouslyFormattedCitation":"(Lam, 2022)"},"properties":{"noteIndex":0},"schema":"https://github.com/citation-style-language/schema/raw/master/csl-citation.json"}</w:instrText>
      </w:r>
      <w:r w:rsidR="00AA099C">
        <w:rPr>
          <w:rFonts w:ascii="Times New Roman" w:eastAsia="Times New Roman" w:hAnsi="Times New Roman"/>
          <w:sz w:val="24"/>
          <w:szCs w:val="24"/>
          <w:lang w:val="en-ID"/>
        </w:rPr>
        <w:fldChar w:fldCharType="separate"/>
      </w:r>
      <w:r w:rsidR="00AA099C" w:rsidRPr="00AA099C">
        <w:rPr>
          <w:rFonts w:ascii="Times New Roman" w:eastAsia="Times New Roman" w:hAnsi="Times New Roman"/>
          <w:sz w:val="24"/>
          <w:szCs w:val="24"/>
          <w:lang w:val="en-ID"/>
        </w:rPr>
        <w:t xml:space="preserve">Lam </w:t>
      </w:r>
      <w:r w:rsidR="00AA099C">
        <w:rPr>
          <w:rFonts w:ascii="Times New Roman" w:eastAsia="Times New Roman" w:hAnsi="Times New Roman"/>
          <w:sz w:val="24"/>
          <w:szCs w:val="24"/>
          <w:lang w:val="en-ID"/>
        </w:rPr>
        <w:t>(</w:t>
      </w:r>
      <w:r w:rsidR="00AA099C" w:rsidRPr="00AA099C">
        <w:rPr>
          <w:rFonts w:ascii="Times New Roman" w:eastAsia="Times New Roman" w:hAnsi="Times New Roman"/>
          <w:sz w:val="24"/>
          <w:szCs w:val="24"/>
          <w:lang w:val="en-ID"/>
        </w:rPr>
        <w:t>2022)</w:t>
      </w:r>
      <w:r w:rsidR="00AA099C">
        <w:rPr>
          <w:rFonts w:ascii="Times New Roman" w:eastAsia="Times New Roman" w:hAnsi="Times New Roman"/>
          <w:sz w:val="24"/>
          <w:szCs w:val="24"/>
          <w:lang w:val="en-ID"/>
        </w:rPr>
        <w:fldChar w:fldCharType="end"/>
      </w:r>
      <w:r w:rsidRPr="00FB7B23">
        <w:rPr>
          <w:rFonts w:ascii="Times New Roman" w:eastAsia="Times New Roman" w:hAnsi="Times New Roman"/>
          <w:sz w:val="24"/>
          <w:szCs w:val="24"/>
          <w:lang w:val="en-ID"/>
        </w:rPr>
        <w:t xml:space="preserve"> theorized. The convergence is not incidental. It indicates that the case for digital portfolio assessment in Indonesian secondary writing instruction is not an isolated policy preference but consistent with an emerging international evidence base on electronic portfolios in second-language writing.</w:t>
      </w:r>
    </w:p>
    <w:p w14:paraId="5CD6B457" w14:textId="282E3AED" w:rsidR="00FB7B23" w:rsidRPr="00FB7B23" w:rsidRDefault="00FB7B23" w:rsidP="00FB7B23">
      <w:pPr>
        <w:spacing w:line="276" w:lineRule="auto"/>
        <w:ind w:firstLine="567"/>
        <w:jc w:val="both"/>
        <w:rPr>
          <w:rFonts w:ascii="Times New Roman" w:eastAsia="Times New Roman" w:hAnsi="Times New Roman"/>
          <w:sz w:val="24"/>
          <w:szCs w:val="24"/>
          <w:lang w:val="en-ID"/>
        </w:rPr>
      </w:pPr>
      <w:r w:rsidRPr="00FB7B23">
        <w:rPr>
          <w:rFonts w:ascii="Times New Roman" w:eastAsia="Times New Roman" w:hAnsi="Times New Roman"/>
          <w:sz w:val="24"/>
          <w:szCs w:val="24"/>
          <w:lang w:val="en-ID"/>
        </w:rPr>
        <w:t xml:space="preserve">At the same time, this review extends that evidence base rather than merely repeating it. </w:t>
      </w:r>
      <w:r w:rsidR="00AA099C">
        <w:rPr>
          <w:rFonts w:ascii="Times New Roman" w:eastAsia="Times New Roman" w:hAnsi="Times New Roman"/>
          <w:sz w:val="24"/>
          <w:szCs w:val="24"/>
          <w:lang w:val="en-ID"/>
        </w:rPr>
        <w:t>Few researchers</w:t>
      </w:r>
      <w:r w:rsidRPr="00FB7B23">
        <w:rPr>
          <w:rFonts w:ascii="Times New Roman" w:eastAsia="Times New Roman" w:hAnsi="Times New Roman"/>
          <w:sz w:val="24"/>
          <w:szCs w:val="24"/>
          <w:lang w:val="en-ID"/>
        </w:rPr>
        <w:t xml:space="preserve"> situate their findings in higher-education or international EFL contexts, neither of which operates under a national curriculum architecture comparable to the Merdeka Curriculum's explicit mandate for holistic, formative, learner-centered assessment</w:t>
      </w:r>
      <w:r w:rsidR="00AA099C">
        <w:rPr>
          <w:rFonts w:ascii="Times New Roman" w:eastAsia="Times New Roman" w:hAnsi="Times New Roman"/>
          <w:sz w:val="24"/>
          <w:szCs w:val="24"/>
          <w:lang w:val="en-ID"/>
        </w:rPr>
        <w:t xml:space="preserve"> </w:t>
      </w:r>
      <w:r w:rsidR="00AA099C">
        <w:rPr>
          <w:rFonts w:ascii="Times New Roman" w:eastAsia="Times New Roman" w:hAnsi="Times New Roman"/>
          <w:sz w:val="24"/>
          <w:szCs w:val="24"/>
          <w:lang w:val="en-ID"/>
        </w:rPr>
        <w:fldChar w:fldCharType="begin" w:fldLock="1"/>
      </w:r>
      <w:r w:rsidR="00AA099C">
        <w:rPr>
          <w:rFonts w:ascii="Times New Roman" w:eastAsia="Times New Roman" w:hAnsi="Times New Roman"/>
          <w:sz w:val="24"/>
          <w:szCs w:val="24"/>
          <w:lang w:val="en-ID"/>
        </w:rPr>
        <w:instrText>ADDIN CSL_CITATION {"citationItems":[{"id":"ITEM-1","itemData":{"DOI":"10.1177/21582440241257697","ISSN":"2158-2440","abstract":"This research sought to examine the impact of electronic portfolio -based writing instruction on the second language writing performance and writing self-efficacy of Chinese English as a foreign language (EFL) learners. A total of 64 participants were divided into two groups, an experimental group ( n = 31) and a control group ( n = 33). The experimental group was given electronic portfolio-based instruction via Edmodo platform, while the control group received only traditional in-class writing instruction without the use of Edmodo. Two sample IELTS tasks and Writing Self-efficacy scale were administered to collect the quantitative data. Further, semi-structured interviews were carried out with participants in the experimental group to gather qualitative data on their perceptions and experiences with electronic portfolio-based writing instruction. The results of paired samples t-tests and ANCOVAs indicated that electronic portfolio-based writing instruction significantly improved global writing performance and its underlying components, namely content, organization, language use, vocabulary, and mechanics, as well as the writing self-efficacy of Chinese EFL learners. Qualitative results revealed several themes, including increased motivation, improved feedback, enhanced collaboration, improved writing skills, and increased writing self-efficacy. Overall, the study demonstrates that electronic portfolio can be a valuable tool for EFL writing instruction and has a positive impact on writing performance and writing self-efficacy for Chinese EFL learners.","author":[{"dropping-particle":"","family":"Guo","given":"Hongyu","non-dropping-particle":"","parse-names":false,"suffix":""},{"dropping-particle":"","family":"Li","given":"Dandi","non-dropping-particle":"","parse-names":false,"suffix":""}],"container-title":"Sage Open","id":"ITEM-1","issue":"2","issued":{"date-parts":[["2024","4","24"]]},"title":"The Effect of Electronic Portfolio-Based Writing Instruction on the Second Language Writing Performance and Writing Self-Efficacy of EFL Learners: A Mixed Methods Study","type":"article-journal","volume":"14"},"uris":["http://www.mendeley.com/documents/?uuid=77a5a305-8b6a-4b99-85cc-5c8585f61bdd"]},{"id":"ITEM-2","itemData":{"DOI":"10.1186/s40468-022-00156-7","ISSN":"2229-0443","abstract":"Portfolio assessment (PA) as an assessment for learning (AfL) alternative has been under-represented in second/foreign language acquisition (SLA) research literature. This study examined the potential impacts of electronic PA (e-PA) on English-as-a-Foreign-Language (EFL) learners’ engagement modes in descriptive and narrative genres of writing on Moodle™. To do so, 56 university students were non-randomly selected and assigned into two intermediate-level EFL cohorts. In a pretest-mediation-posttest study, descriptive and narrative writing tasks completed by two groups were subjected to teacher feedback, student reflection logs, and subsequent revision every week. Results of repeated measures ANOVA indicated significant progress in lower-level skills (sentence structure, word choice/grammar, mechanics), and moderate progress in higher-level skills (organization, development) in both groups’ genre-based writing. Results of one-way ANCOVA reported the notable pretest-to-posttest achievement by both groups with no intergroup statistical differences. The content of students’ reflection logs was inductively analyzed for their behavioral, emotional, and cognitive modes of engagement in e-PA. Qualitative data analysis indicated similar writing time intervals and recurrence of revisions as the behavioral mode of both groups. Participants also expressed novelty, low anxiety, and enjoyment as their emotional experiences. In terms of their cognitive experience, the majority agreed upon the applicability of teacher feedback and positive perception of writing improvement in e-PA. Yet, they were critical to regular mismatches between the scopes of teacher assessment and self-assessment, as well as teacher linguistic bias towards certain writing features. Several pedagogical implications of the study promote the facilitating role of e-PA in genre-based academic writing and e-learning contexts.","author":[{"dropping-particle":"","family":"Pourdana","given":"Natasha","non-dropping-particle":"","parse-names":false,"suffix":""},{"dropping-particle":"","family":"Tavassoli","given":"Kobra","non-dropping-particle":"","parse-names":false,"suffix":""}],"container-title":"Language Testing in Asia","id":"ITEM-2","issue":"1","issued":{"date-parts":[["2022","12","15"]]},"page":"7","title":"Differential impacts of e-portfolio assessment on language learners’ engagement modes and genre-based writing improvement","type":"article-journal","volume":"12"},"uris":["http://www.mendeley.com/documents/?uuid=056076df-17c3-4c28-85e2-fd0e4abd2a02"]}],"mendeley":{"formattedCitation":"(Guo &amp; Li, 2024; Pourdana &amp; Tavassoli, 2022)","plainTextFormattedCitation":"(Guo &amp; Li, 2024; Pourdana &amp; Tavassoli, 2022)","previouslyFormattedCitation":"(Guo &amp; Li, 2024; Pourdana &amp; Tavassoli, 2022)"},"properties":{"noteIndex":0},"schema":"https://github.com/citation-style-language/schema/raw/master/csl-citation.json"}</w:instrText>
      </w:r>
      <w:r w:rsidR="00AA099C">
        <w:rPr>
          <w:rFonts w:ascii="Times New Roman" w:eastAsia="Times New Roman" w:hAnsi="Times New Roman"/>
          <w:sz w:val="24"/>
          <w:szCs w:val="24"/>
          <w:lang w:val="en-ID"/>
        </w:rPr>
        <w:fldChar w:fldCharType="separate"/>
      </w:r>
      <w:r w:rsidR="00AA099C" w:rsidRPr="00AA099C">
        <w:rPr>
          <w:rFonts w:ascii="Times New Roman" w:eastAsia="Times New Roman" w:hAnsi="Times New Roman"/>
          <w:sz w:val="24"/>
          <w:szCs w:val="24"/>
          <w:lang w:val="en-ID"/>
        </w:rPr>
        <w:t>(Guo &amp; Li, 2024; Pourdana &amp; Tavassoli, 2022)</w:t>
      </w:r>
      <w:r w:rsidR="00AA099C">
        <w:rPr>
          <w:rFonts w:ascii="Times New Roman" w:eastAsia="Times New Roman" w:hAnsi="Times New Roman"/>
          <w:sz w:val="24"/>
          <w:szCs w:val="24"/>
          <w:lang w:val="en-ID"/>
        </w:rPr>
        <w:fldChar w:fldCharType="end"/>
      </w:r>
      <w:r w:rsidRPr="00FB7B23">
        <w:rPr>
          <w:rFonts w:ascii="Times New Roman" w:eastAsia="Times New Roman" w:hAnsi="Times New Roman"/>
          <w:sz w:val="24"/>
          <w:szCs w:val="24"/>
          <w:lang w:val="en-ID"/>
        </w:rPr>
        <w:t xml:space="preserve">. By connecting the mechanisms those studies identify to the specific assessment principles codified in Permendikbudristek No. 21/2022 and to the Pancasila Student Profile, this review extends their relevance into a policy environment they were not designed to address, and into a school level, secondary education, that international e-portfolio research has examined far less thoroughly </w:t>
      </w:r>
      <w:r w:rsidRPr="00FB7B23">
        <w:rPr>
          <w:rFonts w:ascii="Times New Roman" w:eastAsia="Times New Roman" w:hAnsi="Times New Roman"/>
          <w:sz w:val="24"/>
          <w:szCs w:val="24"/>
          <w:lang w:val="en-ID"/>
        </w:rPr>
        <w:lastRenderedPageBreak/>
        <w:t xml:space="preserve">than higher education. </w:t>
      </w:r>
      <w:r w:rsidR="00AA099C">
        <w:rPr>
          <w:rFonts w:ascii="Times New Roman" w:eastAsia="Times New Roman" w:hAnsi="Times New Roman"/>
          <w:sz w:val="24"/>
          <w:szCs w:val="24"/>
          <w:lang w:val="en-ID"/>
        </w:rPr>
        <w:fldChar w:fldCharType="begin" w:fldLock="1"/>
      </w:r>
      <w:r w:rsidR="00AA099C">
        <w:rPr>
          <w:rFonts w:ascii="Times New Roman" w:eastAsia="Times New Roman" w:hAnsi="Times New Roman"/>
          <w:sz w:val="24"/>
          <w:szCs w:val="24"/>
          <w:lang w:val="en-ID"/>
        </w:rPr>
        <w:instrText>ADDIN CSL_CITATION {"citationItems":[{"id":"ITEM-1","itemData":{"DOI":"10.56943/sujana.v2.i1.255","ISSN":"2964-3902","abstract":"Learning media is one of the very important learning components as a bridge in the delivery of material. The use of media in learning can have a positive impact and tremendous benefits in facilitating the student learning process. Learning media is also an indispensable basis for the success of the learning process. The aims of this study were (1) to determine student learning outcomes using conventional media based on animated videos (2) to analyze differences in learning outcomes between students using conventional media and animated videos. The stages of this research method are quasi-experimental research with pretest and posttest designs. The subjects of this study were students of class X at SMK Bhina ​​Karya Karanganyar and SMK Satya Karya Karanganyar. Taking the research class through random sampling technique based on the adjustment of the material to the class curriculum. Activities in data analysis include data processing activities and statistical analysis. This test was carried out on pre-test and post-test data, changes in post-test scores from pre-test scores on the experimental group. The conclusion of this study is that the learning model through learning media through interactive video is able to motivate students so that learning achievement can increase. Students gave a positive response to the implementation of the learning model using interactive videos.","author":[{"dropping-particle":"","family":"Firdaus","given":"Erma Nurhayati","non-dropping-particle":"","parse-names":false,"suffix":""},{"dropping-particle":"","family":"Wulandari","given":"Rahaju Muljo","non-dropping-particle":"","parse-names":false,"suffix":""},{"dropping-particle":"","family":"Arini","given":"Liss Dyah Dewi","non-dropping-particle":"","parse-names":false,"suffix":""}],"container-title":"SUJANA (Education and Learning Review)","id":"ITEM-1","issue":"1","issued":{"date-parts":[["2023","2","10"]]},"page":"17-26","title":"ENGLISH BASED SMART INNOVATION THROUGH INTERACTIVE VIDEO AT BHINA KARYA AND SATYA KARYA KARANGANYAR VOCATIONAL SCHOOLS","type":"article-journal","volume":"2"},"uris":["http://www.mendeley.com/documents/?uuid=3491e3cc-8447-49e6-b96f-77332edce3f8"]}],"mendeley":{"formattedCitation":"(Firdaus et al., 2023)","manualFormatting":"Firdaus et al. (2023)","plainTextFormattedCitation":"(Firdaus et al., 2023)","previouslyFormattedCitation":"(Firdaus et al., 2023)"},"properties":{"noteIndex":0},"schema":"https://github.com/citation-style-language/schema/raw/master/csl-citation.json"}</w:instrText>
      </w:r>
      <w:r w:rsidR="00AA099C">
        <w:rPr>
          <w:rFonts w:ascii="Times New Roman" w:eastAsia="Times New Roman" w:hAnsi="Times New Roman"/>
          <w:sz w:val="24"/>
          <w:szCs w:val="24"/>
          <w:lang w:val="en-ID"/>
        </w:rPr>
        <w:fldChar w:fldCharType="separate"/>
      </w:r>
      <w:r w:rsidR="00AA099C" w:rsidRPr="00AA099C">
        <w:rPr>
          <w:rFonts w:ascii="Times New Roman" w:eastAsia="Times New Roman" w:hAnsi="Times New Roman"/>
          <w:sz w:val="24"/>
          <w:szCs w:val="24"/>
          <w:lang w:val="en-ID"/>
        </w:rPr>
        <w:t xml:space="preserve">Firdaus et al. </w:t>
      </w:r>
      <w:r w:rsidR="00AA099C">
        <w:rPr>
          <w:rFonts w:ascii="Times New Roman" w:eastAsia="Times New Roman" w:hAnsi="Times New Roman"/>
          <w:sz w:val="24"/>
          <w:szCs w:val="24"/>
          <w:lang w:val="en-ID"/>
        </w:rPr>
        <w:t>(</w:t>
      </w:r>
      <w:r w:rsidR="00AA099C" w:rsidRPr="00AA099C">
        <w:rPr>
          <w:rFonts w:ascii="Times New Roman" w:eastAsia="Times New Roman" w:hAnsi="Times New Roman"/>
          <w:sz w:val="24"/>
          <w:szCs w:val="24"/>
          <w:lang w:val="en-ID"/>
        </w:rPr>
        <w:t>2023)</w:t>
      </w:r>
      <w:r w:rsidR="00AA099C">
        <w:rPr>
          <w:rFonts w:ascii="Times New Roman" w:eastAsia="Times New Roman" w:hAnsi="Times New Roman"/>
          <w:sz w:val="24"/>
          <w:szCs w:val="24"/>
          <w:lang w:val="en-ID"/>
        </w:rPr>
        <w:fldChar w:fldCharType="end"/>
      </w:r>
      <w:r w:rsidR="00AA099C">
        <w:rPr>
          <w:rFonts w:ascii="Times New Roman" w:eastAsia="Times New Roman" w:hAnsi="Times New Roman"/>
          <w:sz w:val="24"/>
          <w:szCs w:val="24"/>
          <w:lang w:val="en-ID"/>
        </w:rPr>
        <w:t xml:space="preserve"> </w:t>
      </w:r>
      <w:r w:rsidRPr="00FB7B23">
        <w:rPr>
          <w:rFonts w:ascii="Times New Roman" w:eastAsia="Times New Roman" w:hAnsi="Times New Roman"/>
          <w:sz w:val="24"/>
          <w:szCs w:val="24"/>
          <w:lang w:val="en-ID"/>
        </w:rPr>
        <w:t>finding that interactive digital media outperformed conventional instruction in an Indonesian vocational school setting lends indirect support to this extension: it suggests that the general pattern of digital tools outperforming conventional practice, which</w:t>
      </w:r>
      <w:r w:rsidR="00AA099C">
        <w:rPr>
          <w:rFonts w:ascii="Times New Roman" w:eastAsia="Times New Roman" w:hAnsi="Times New Roman"/>
          <w:sz w:val="24"/>
          <w:szCs w:val="24"/>
          <w:lang w:val="en-ID"/>
        </w:rPr>
        <w:t xml:space="preserve"> </w:t>
      </w:r>
      <w:r w:rsidR="00AA099C">
        <w:rPr>
          <w:rFonts w:ascii="Times New Roman" w:eastAsia="Times New Roman" w:hAnsi="Times New Roman"/>
          <w:sz w:val="24"/>
          <w:szCs w:val="24"/>
          <w:lang w:val="en-ID"/>
        </w:rPr>
        <w:fldChar w:fldCharType="begin" w:fldLock="1"/>
      </w:r>
      <w:r w:rsidR="00AA099C">
        <w:rPr>
          <w:rFonts w:ascii="Times New Roman" w:eastAsia="Times New Roman" w:hAnsi="Times New Roman"/>
          <w:sz w:val="24"/>
          <w:szCs w:val="24"/>
          <w:lang w:val="en-ID"/>
        </w:rPr>
        <w:instrText>ADDIN CSL_CITATION {"citationItems":[{"id":"ITEM-1","itemData":{"DOI":"10.1177/21582440241257697","ISSN":"2158-2440","abstract":"This research sought to examine the impact of electronic portfolio -based writing instruction on the second language writing performance and writing self-efficacy of Chinese English as a foreign language (EFL) learners. A total of 64 participants were divided into two groups, an experimental group ( n = 31) and a control group ( n = 33). The experimental group was given electronic portfolio-based instruction via Edmodo platform, while the control group received only traditional in-class writing instruction without the use of Edmodo. Two sample IELTS tasks and Writing Self-efficacy scale were administered to collect the quantitative data. Further, semi-structured interviews were carried out with participants in the experimental group to gather qualitative data on their perceptions and experiences with electronic portfolio-based writing instruction. The results of paired samples t-tests and ANCOVAs indicated that electronic portfolio-based writing instruction significantly improved global writing performance and its underlying components, namely content, organization, language use, vocabulary, and mechanics, as well as the writing self-efficacy of Chinese EFL learners. Qualitative results revealed several themes, including increased motivation, improved feedback, enhanced collaboration, improved writing skills, and increased writing self-efficacy. Overall, the study demonstrates that electronic portfolio can be a valuable tool for EFL writing instruction and has a positive impact on writing performance and writing self-efficacy for Chinese EFL learners.","author":[{"dropping-particle":"","family":"Guo","given":"Hongyu","non-dropping-particle":"","parse-names":false,"suffix":""},{"dropping-particle":"","family":"Li","given":"Dandi","non-dropping-particle":"","parse-names":false,"suffix":""}],"container-title":"Sage Open","id":"ITEM-1","issue":"2","issued":{"date-parts":[["2024","4","24"]]},"title":"The Effect of Electronic Portfolio-Based Writing Instruction on the Second Language Writing Performance and Writing Self-Efficacy of EFL Learners: A Mixed Methods Study","type":"article-journal","volume":"14"},"uris":["http://www.mendeley.com/documents/?uuid=77a5a305-8b6a-4b99-85cc-5c8585f61bdd"]}],"mendeley":{"formattedCitation":"(Guo &amp; Li, 2024)","manualFormatting":"Guo and Li (2024)","plainTextFormattedCitation":"(Guo &amp; Li, 2024)","previouslyFormattedCitation":"(Guo &amp; Li, 2024)"},"properties":{"noteIndex":0},"schema":"https://github.com/citation-style-language/schema/raw/master/csl-citation.json"}</w:instrText>
      </w:r>
      <w:r w:rsidR="00AA099C">
        <w:rPr>
          <w:rFonts w:ascii="Times New Roman" w:eastAsia="Times New Roman" w:hAnsi="Times New Roman"/>
          <w:sz w:val="24"/>
          <w:szCs w:val="24"/>
          <w:lang w:val="en-ID"/>
        </w:rPr>
        <w:fldChar w:fldCharType="separate"/>
      </w:r>
      <w:r w:rsidR="00AA099C" w:rsidRPr="00AA099C">
        <w:rPr>
          <w:rFonts w:ascii="Times New Roman" w:eastAsia="Times New Roman" w:hAnsi="Times New Roman"/>
          <w:sz w:val="24"/>
          <w:szCs w:val="24"/>
          <w:lang w:val="en-ID"/>
        </w:rPr>
        <w:t xml:space="preserve">Guo </w:t>
      </w:r>
      <w:r w:rsidR="00AA099C">
        <w:rPr>
          <w:rFonts w:ascii="Times New Roman" w:eastAsia="Times New Roman" w:hAnsi="Times New Roman"/>
          <w:sz w:val="24"/>
          <w:szCs w:val="24"/>
          <w:lang w:val="en-ID"/>
        </w:rPr>
        <w:t>and</w:t>
      </w:r>
      <w:r w:rsidR="00AA099C" w:rsidRPr="00AA099C">
        <w:rPr>
          <w:rFonts w:ascii="Times New Roman" w:eastAsia="Times New Roman" w:hAnsi="Times New Roman"/>
          <w:sz w:val="24"/>
          <w:szCs w:val="24"/>
          <w:lang w:val="en-ID"/>
        </w:rPr>
        <w:t xml:space="preserve"> Li </w:t>
      </w:r>
      <w:r w:rsidR="00AA099C">
        <w:rPr>
          <w:rFonts w:ascii="Times New Roman" w:eastAsia="Times New Roman" w:hAnsi="Times New Roman"/>
          <w:sz w:val="24"/>
          <w:szCs w:val="24"/>
          <w:lang w:val="en-ID"/>
        </w:rPr>
        <w:t>(</w:t>
      </w:r>
      <w:r w:rsidR="00AA099C" w:rsidRPr="00AA099C">
        <w:rPr>
          <w:rFonts w:ascii="Times New Roman" w:eastAsia="Times New Roman" w:hAnsi="Times New Roman"/>
          <w:sz w:val="24"/>
          <w:szCs w:val="24"/>
          <w:lang w:val="en-ID"/>
        </w:rPr>
        <w:t>2024)</w:t>
      </w:r>
      <w:r w:rsidR="00AA099C">
        <w:rPr>
          <w:rFonts w:ascii="Times New Roman" w:eastAsia="Times New Roman" w:hAnsi="Times New Roman"/>
          <w:sz w:val="24"/>
          <w:szCs w:val="24"/>
          <w:lang w:val="en-ID"/>
        </w:rPr>
        <w:fldChar w:fldCharType="end"/>
      </w:r>
      <w:r w:rsidRPr="00FB7B23">
        <w:rPr>
          <w:rFonts w:ascii="Times New Roman" w:eastAsia="Times New Roman" w:hAnsi="Times New Roman"/>
          <w:sz w:val="24"/>
          <w:szCs w:val="24"/>
          <w:lang w:val="en-ID"/>
        </w:rPr>
        <w:t xml:space="preserve"> demonstrated specifically for portfolios, is not contradicted by the Indonesian secondary context and may reasonably be expected to hold there, even though no study has yet tested digital writing portfolios in that setting directly, a gap this review's recommendations for future empirical research, discussed in the Conclusion, are designed to address.</w:t>
      </w:r>
    </w:p>
    <w:p w14:paraId="33D1674A" w14:textId="05686F91" w:rsidR="00FB7B23" w:rsidRPr="00FB7B23" w:rsidRDefault="00FB7B23" w:rsidP="00FB7B23">
      <w:pPr>
        <w:spacing w:line="276" w:lineRule="auto"/>
        <w:ind w:firstLine="567"/>
        <w:jc w:val="both"/>
        <w:rPr>
          <w:rFonts w:ascii="Times New Roman" w:eastAsia="Times New Roman" w:hAnsi="Times New Roman"/>
          <w:sz w:val="24"/>
          <w:szCs w:val="24"/>
          <w:lang w:val="en-ID"/>
        </w:rPr>
      </w:pPr>
      <w:r w:rsidRPr="00FB7B23">
        <w:rPr>
          <w:rFonts w:ascii="Times New Roman" w:eastAsia="Times New Roman" w:hAnsi="Times New Roman"/>
          <w:sz w:val="24"/>
          <w:szCs w:val="24"/>
          <w:lang w:val="en-ID"/>
        </w:rPr>
        <w:t xml:space="preserve">The relationship is not, however, one of uniform agreement, and one finding from the Introduction meaningfully complicates the optimism of the urgency argument rather than simply reinforcing it. </w:t>
      </w:r>
      <w:r w:rsidR="00AA099C">
        <w:rPr>
          <w:rFonts w:ascii="Times New Roman" w:eastAsia="Times New Roman" w:hAnsi="Times New Roman"/>
          <w:sz w:val="24"/>
          <w:szCs w:val="24"/>
          <w:lang w:val="en-ID"/>
        </w:rPr>
        <w:fldChar w:fldCharType="begin" w:fldLock="1"/>
      </w:r>
      <w:r w:rsidR="00AA099C">
        <w:rPr>
          <w:rFonts w:ascii="Times New Roman" w:eastAsia="Times New Roman" w:hAnsi="Times New Roman"/>
          <w:sz w:val="24"/>
          <w:szCs w:val="24"/>
          <w:lang w:val="en-ID"/>
        </w:rPr>
        <w:instrText>ADDIN CSL_CITATION {"citationItems":[{"id":"ITEM-1","itemData":{"DOI":"10.1186/s40468-022-00156-7","ISSN":"2229-0443","abstract":"Portfolio assessment (PA) as an assessment for learning (AfL) alternative has been under-represented in second/foreign language acquisition (SLA) research literature. This study examined the potential impacts of electronic PA (e-PA) on English-as-a-Foreign-Language (EFL) learners’ engagement modes in descriptive and narrative genres of writing on Moodle™. To do so, 56 university students were non-randomly selected and assigned into two intermediate-level EFL cohorts. In a pretest-mediation-posttest study, descriptive and narrative writing tasks completed by two groups were subjected to teacher feedback, student reflection logs, and subsequent revision every week. Results of repeated measures ANOVA indicated significant progress in lower-level skills (sentence structure, word choice/grammar, mechanics), and moderate progress in higher-level skills (organization, development) in both groups’ genre-based writing. Results of one-way ANCOVA reported the notable pretest-to-posttest achievement by both groups with no intergroup statistical differences. The content of students’ reflection logs was inductively analyzed for their behavioral, emotional, and cognitive modes of engagement in e-PA. Qualitative data analysis indicated similar writing time intervals and recurrence of revisions as the behavioral mode of both groups. Participants also expressed novelty, low anxiety, and enjoyment as their emotional experiences. In terms of their cognitive experience, the majority agreed upon the applicability of teacher feedback and positive perception of writing improvement in e-PA. Yet, they were critical to regular mismatches between the scopes of teacher assessment and self-assessment, as well as teacher linguistic bias towards certain writing features. Several pedagogical implications of the study promote the facilitating role of e-PA in genre-based academic writing and e-learning contexts.","author":[{"dropping-particle":"","family":"Pourdana","given":"Natasha","non-dropping-particle":"","parse-names":false,"suffix":""},{"dropping-particle":"","family":"Tavassoli","given":"Kobra","non-dropping-particle":"","parse-names":false,"suffix":""}],"container-title":"Language Testing in Asia","id":"ITEM-1","issue":"1","issued":{"date-parts":[["2022","12","15"]]},"page":"7","title":"Differential impacts of e-portfolio assessment on language learners’ engagement modes and genre-based writing improvement","type":"article-journal","volume":"12"},"uris":["http://www.mendeley.com/documents/?uuid=056076df-17c3-4c28-85e2-fd0e4abd2a02"]}],"mendeley":{"formattedCitation":"(Pourdana &amp; Tavassoli, 2022)","manualFormatting":"Pourdana and Tavassoli (2022)","plainTextFormattedCitation":"(Pourdana &amp; Tavassoli, 2022)","previouslyFormattedCitation":"(Pourdana &amp; Tavassoli, 2022)"},"properties":{"noteIndex":0},"schema":"https://github.com/citation-style-language/schema/raw/master/csl-citation.json"}</w:instrText>
      </w:r>
      <w:r w:rsidR="00AA099C">
        <w:rPr>
          <w:rFonts w:ascii="Times New Roman" w:eastAsia="Times New Roman" w:hAnsi="Times New Roman"/>
          <w:sz w:val="24"/>
          <w:szCs w:val="24"/>
          <w:lang w:val="en-ID"/>
        </w:rPr>
        <w:fldChar w:fldCharType="separate"/>
      </w:r>
      <w:r w:rsidR="00AA099C" w:rsidRPr="00AA099C">
        <w:rPr>
          <w:rFonts w:ascii="Times New Roman" w:eastAsia="Times New Roman" w:hAnsi="Times New Roman"/>
          <w:sz w:val="24"/>
          <w:szCs w:val="24"/>
          <w:lang w:val="en-ID"/>
        </w:rPr>
        <w:t xml:space="preserve">Pourdana </w:t>
      </w:r>
      <w:r w:rsidR="00AA099C">
        <w:rPr>
          <w:rFonts w:ascii="Times New Roman" w:eastAsia="Times New Roman" w:hAnsi="Times New Roman"/>
          <w:sz w:val="24"/>
          <w:szCs w:val="24"/>
          <w:lang w:val="en-ID"/>
        </w:rPr>
        <w:t>and</w:t>
      </w:r>
      <w:r w:rsidR="00AA099C" w:rsidRPr="00AA099C">
        <w:rPr>
          <w:rFonts w:ascii="Times New Roman" w:eastAsia="Times New Roman" w:hAnsi="Times New Roman"/>
          <w:sz w:val="24"/>
          <w:szCs w:val="24"/>
          <w:lang w:val="en-ID"/>
        </w:rPr>
        <w:t xml:space="preserve"> Tavassoli </w:t>
      </w:r>
      <w:r w:rsidR="00AA099C">
        <w:rPr>
          <w:rFonts w:ascii="Times New Roman" w:eastAsia="Times New Roman" w:hAnsi="Times New Roman"/>
          <w:sz w:val="24"/>
          <w:szCs w:val="24"/>
          <w:lang w:val="en-ID"/>
        </w:rPr>
        <w:t>(</w:t>
      </w:r>
      <w:r w:rsidR="00AA099C" w:rsidRPr="00AA099C">
        <w:rPr>
          <w:rFonts w:ascii="Times New Roman" w:eastAsia="Times New Roman" w:hAnsi="Times New Roman"/>
          <w:sz w:val="24"/>
          <w:szCs w:val="24"/>
          <w:lang w:val="en-ID"/>
        </w:rPr>
        <w:t>2022)</w:t>
      </w:r>
      <w:r w:rsidR="00AA099C">
        <w:rPr>
          <w:rFonts w:ascii="Times New Roman" w:eastAsia="Times New Roman" w:hAnsi="Times New Roman"/>
          <w:sz w:val="24"/>
          <w:szCs w:val="24"/>
          <w:lang w:val="en-ID"/>
        </w:rPr>
        <w:fldChar w:fldCharType="end"/>
      </w:r>
      <w:r w:rsidR="00AA099C">
        <w:rPr>
          <w:rFonts w:ascii="Times New Roman" w:eastAsia="Times New Roman" w:hAnsi="Times New Roman"/>
          <w:sz w:val="24"/>
          <w:szCs w:val="24"/>
          <w:lang w:val="en-ID"/>
        </w:rPr>
        <w:t xml:space="preserve"> </w:t>
      </w:r>
      <w:r w:rsidRPr="00FB7B23">
        <w:rPr>
          <w:rFonts w:ascii="Times New Roman" w:eastAsia="Times New Roman" w:hAnsi="Times New Roman"/>
          <w:sz w:val="24"/>
          <w:szCs w:val="24"/>
          <w:lang w:val="en-ID"/>
        </w:rPr>
        <w:t xml:space="preserve">found that electronic portfolio assessment produced differentiated rather than uniform gains, with stronger improvement in lower-level mechanical skills such as sentence structure and word choice than in higher-order skills such as organization and development. This finding tempers any claim that digital portfolios are equally transformative across every dimension of writing competence, and it cautions against reading </w:t>
      </w:r>
      <w:r w:rsidR="00AA099C">
        <w:rPr>
          <w:rFonts w:ascii="Times New Roman" w:eastAsia="Times New Roman" w:hAnsi="Times New Roman"/>
          <w:sz w:val="24"/>
          <w:szCs w:val="24"/>
          <w:lang w:val="en-ID"/>
        </w:rPr>
        <w:fldChar w:fldCharType="begin" w:fldLock="1"/>
      </w:r>
      <w:r w:rsidR="002C0006">
        <w:rPr>
          <w:rFonts w:ascii="Times New Roman" w:eastAsia="Times New Roman" w:hAnsi="Times New Roman"/>
          <w:sz w:val="24"/>
          <w:szCs w:val="24"/>
          <w:lang w:val="en-ID"/>
        </w:rPr>
        <w:instrText>ADDIN CSL_CITATION {"citationItems":[{"id":"ITEM-1","itemData":{"ISSN":"2829-3681","abstract":"Dalam suatu pembelajan selalu dibutuhkan lembar kerja peserta didik digunakan sebagai pengukuran tingkat pemahaman dan ketuntasan belajar peserta didik.&amp;nbsp; Portofolio merupakan salah satu bentuk LKPD. Secara umum, portofolio merupakan kumpulan dokumen berupa objek penilaian yang dipakai oleh seseorang, kelompok, lembaga, organisasi atau perusahaan yang bertujuan untuk mendokumentasikan dan menilai perkembangan suatu proses, Adapun tujuan dari penelitian pengembangan ini adalah untuk :1) Mendeskripsikan prosedural dan konseptual dari pengembangan portofolio digital&amp;nbsp; siswa kelas V SDN Bulukerto 01 Kota Batu melalui media canva dan youtube Tahun 2022/ 2023. 2). Mengetahui validitas dari produk pengembangan portofolio digital&amp;nbsp; untuk meningkatkan prestasi peserta didik.. 3). Menganalisis hasil uji coba produk pengembangan portofolio digital untuk meningkatkan prestasi peserta didik. 4). Mengetahui efektifitas pengembangan portofolio digital untuk meningkatkan prestasi kelas V SDN Bulukerto 01 Kota Batu Tahun 2022/ 2023. Penelitian pengembangan ini telah dilakukan berdasarkan pada aspek teoritis dan empiris merupakan model penelitian dan pengembangan ADDIE (Analyze – Design – Develop – Implement - Evaluate) berdasar teorinya Branch (2009). Produk pengembangan pada penelitian ini terdiri dari: Portofolio digital,RPP, Bahan ajar Pendapatan Nasional, lembar kegiatan penilaian diri siswa, dan evaluasi&amp;nbsp; Produk pengembangan tersebut telah melalui proses validasi oleh ahli penelitian pengembangan dan ahli bidang media. Validasi ini dijadikan acuan untuk memperbaiki dan merevisi produk pengembangan dalam penelitian ini. Produk yang dikembangkan dalam penelitian ini telah mengalami revisi, selanjutnya diuji cobakan melalui ujicoba perorangan, uji coba kelompok kecil dan uji coba, dan kelompok besar. Berdasarkan hasil uji coba produk, model pengembangan portofolio digital siswa kelas V SDN Bulukerto 01 melalui media youtube dan canva Tahun pelajaran 2022/2023 dianggap baik dan tepat untuk diaplikasikan dengan skor efektivitas 83,03.","author":[{"dropping-particle":"","family":"Adrianik","given":"Ika Catur","non-dropping-particle":"","parse-names":false,"suffix":""}],"container-title":"Jurnal Pendidikan Taman Widya Humaniora","id":"ITEM-1","issue":"4","issued":{"date-parts":[["2023","7","8"]]},"page":"1970-1994","title":"PENGEMBANGAN PORTOFOLIO DIGITAL MELALUI MEDIA CANVA DAN YOUTUBE PADA PEMBELAJARAN SISWA KELAS V  SDN BULUKERTO 01 BATU TAHUN PELAJARAN 2022/2023","type":"article-journal","volume":"2"},"uris":["http://www.mendeley.com/documents/?uuid=b801f3d7-87c0-327a-8de1-aceb072f28a7"]}],"mendeley":{"formattedCitation":"(Adrianik, 2023)","manualFormatting":"Adrianik's (2023)","plainTextFormattedCitation":"(Adrianik, 2023)","previouslyFormattedCitation":"(Adrianik, 2023)"},"properties":{"noteIndex":0},"schema":"https://github.com/citation-style-language/schema/raw/master/csl-citation.json"}</w:instrText>
      </w:r>
      <w:r w:rsidR="00AA099C">
        <w:rPr>
          <w:rFonts w:ascii="Times New Roman" w:eastAsia="Times New Roman" w:hAnsi="Times New Roman"/>
          <w:sz w:val="24"/>
          <w:szCs w:val="24"/>
          <w:lang w:val="en-ID"/>
        </w:rPr>
        <w:fldChar w:fldCharType="separate"/>
      </w:r>
      <w:r w:rsidR="00AA099C" w:rsidRPr="00AA099C">
        <w:rPr>
          <w:rFonts w:ascii="Times New Roman" w:eastAsia="Times New Roman" w:hAnsi="Times New Roman"/>
          <w:sz w:val="24"/>
          <w:szCs w:val="24"/>
          <w:lang w:val="en-ID"/>
        </w:rPr>
        <w:t>Adrianik</w:t>
      </w:r>
      <w:r w:rsidR="00AA099C">
        <w:rPr>
          <w:rFonts w:ascii="Times New Roman" w:eastAsia="Times New Roman" w:hAnsi="Times New Roman"/>
          <w:sz w:val="24"/>
          <w:szCs w:val="24"/>
          <w:lang w:val="en-ID"/>
        </w:rPr>
        <w:t>'s</w:t>
      </w:r>
      <w:r w:rsidR="00AA099C" w:rsidRPr="00AA099C">
        <w:rPr>
          <w:rFonts w:ascii="Times New Roman" w:eastAsia="Times New Roman" w:hAnsi="Times New Roman"/>
          <w:sz w:val="24"/>
          <w:szCs w:val="24"/>
          <w:lang w:val="en-ID"/>
        </w:rPr>
        <w:t xml:space="preserve"> </w:t>
      </w:r>
      <w:r w:rsidR="00AA099C">
        <w:rPr>
          <w:rFonts w:ascii="Times New Roman" w:eastAsia="Times New Roman" w:hAnsi="Times New Roman"/>
          <w:sz w:val="24"/>
          <w:szCs w:val="24"/>
          <w:lang w:val="en-ID"/>
        </w:rPr>
        <w:t>(</w:t>
      </w:r>
      <w:r w:rsidR="00AA099C" w:rsidRPr="00AA099C">
        <w:rPr>
          <w:rFonts w:ascii="Times New Roman" w:eastAsia="Times New Roman" w:hAnsi="Times New Roman"/>
          <w:sz w:val="24"/>
          <w:szCs w:val="24"/>
          <w:lang w:val="en-ID"/>
        </w:rPr>
        <w:t>2023)</w:t>
      </w:r>
      <w:r w:rsidR="00AA099C">
        <w:rPr>
          <w:rFonts w:ascii="Times New Roman" w:eastAsia="Times New Roman" w:hAnsi="Times New Roman"/>
          <w:sz w:val="24"/>
          <w:szCs w:val="24"/>
          <w:lang w:val="en-ID"/>
        </w:rPr>
        <w:fldChar w:fldCharType="end"/>
      </w:r>
      <w:r w:rsidRPr="00FB7B23">
        <w:rPr>
          <w:rFonts w:ascii="Times New Roman" w:eastAsia="Times New Roman" w:hAnsi="Times New Roman"/>
          <w:sz w:val="24"/>
          <w:szCs w:val="24"/>
          <w:lang w:val="en-ID"/>
        </w:rPr>
        <w:t xml:space="preserve"> single elementary-level effectiveness score as evidence that digital portfolios uniformly elevate all aspects of writing quality. Read alongside By and Veng's (2024) finding that student-related constraints, rather than platform or teacher limitations, were the most significant impediment to a different digital assessment practice, oral presentation, the pattern that emerges across both studies is that digital instruments reliably support certain capacities, self-monitoring, lower-level accuracy, and engagement, more reliably than they support the highest-order compositional judgment that experienced writers exercise. This review's recommendations accordingly do not claim that digital portfolio assessment alone develops higher-order writing competence; rather, they position the portfolio as the documentation and reflection scaffold within which such competence can be more deliberately taught and observed, a more modest and, the evidence suggests, more defensible claim than uncritical advocacy would allow.</w:t>
      </w:r>
    </w:p>
    <w:p w14:paraId="18334080" w14:textId="60B99BC6" w:rsidR="00F776C1" w:rsidRPr="00CB0F37" w:rsidRDefault="00A9138E" w:rsidP="0013399E">
      <w:pPr>
        <w:spacing w:before="240" w:after="240" w:line="276" w:lineRule="auto"/>
        <w:jc w:val="both"/>
        <w:rPr>
          <w:rFonts w:ascii="Times New Roman" w:eastAsia="Times New Roman" w:hAnsi="Times New Roman"/>
          <w:sz w:val="24"/>
          <w:szCs w:val="24"/>
        </w:rPr>
      </w:pPr>
      <w:r w:rsidRPr="00CB0F37">
        <w:rPr>
          <w:rFonts w:ascii="Times New Roman" w:hAnsi="Times New Roman"/>
          <w:b/>
          <w:bCs/>
          <w:sz w:val="24"/>
          <w:szCs w:val="24"/>
          <w:lang w:val="id-ID"/>
        </w:rPr>
        <w:t>CONCLUSION</w:t>
      </w:r>
    </w:p>
    <w:p w14:paraId="5D2799BC" w14:textId="77777777" w:rsidR="009170C4" w:rsidRPr="009170C4" w:rsidRDefault="009170C4" w:rsidP="009170C4">
      <w:pPr>
        <w:spacing w:line="276" w:lineRule="auto"/>
        <w:ind w:firstLine="567"/>
        <w:jc w:val="both"/>
        <w:rPr>
          <w:rFonts w:ascii="Times New Roman" w:eastAsia="Times New Roman" w:hAnsi="Times New Roman"/>
          <w:sz w:val="24"/>
          <w:szCs w:val="24"/>
          <w:lang w:val="en-ID"/>
        </w:rPr>
      </w:pPr>
      <w:r w:rsidRPr="009170C4">
        <w:rPr>
          <w:rFonts w:ascii="Times New Roman" w:eastAsia="Times New Roman" w:hAnsi="Times New Roman"/>
          <w:sz w:val="24"/>
          <w:szCs w:val="24"/>
          <w:lang w:val="en-ID"/>
        </w:rPr>
        <w:t xml:space="preserve">This conceptual review set out to examine the concept of digital portfolio assessment, analyze its alignment with the Merdeka Curriculum, establish its urgency for writing instruction, and identify the challenges and solutions attending its implementation. In doing so, it delivers on the two novelties announced at the outset: a conceptual synthesis explicitly anchored in the Merdeka Curriculum's assessment architecture, and a framework built specifically for the secondary-level Indonesian writing context that existing literature has largely left unaddressed. On the first three objectives, the synthesis presented here supports the claim that digital portfolio assessment carries substantial urgency in this context. Its capacity to </w:t>
      </w:r>
      <w:r w:rsidRPr="009170C4">
        <w:rPr>
          <w:rFonts w:ascii="Times New Roman" w:eastAsia="Times New Roman" w:hAnsi="Times New Roman"/>
          <w:sz w:val="24"/>
          <w:szCs w:val="24"/>
          <w:lang w:val="en-ID"/>
        </w:rPr>
        <w:lastRenderedPageBreak/>
        <w:t>document the writing process longitudinally, to institutionalize student reflection and self-assessment, to open feedback beyond the teacher alone, and to rehearse the broader digital-era competencies the Merdeka Curriculum seeks to cultivate together give the instrument a correspondence with the curriculum's philosophical and pedagogical foundations that is conceptual rather than incidental. At the same time, this urgency is not unconditional: the evidence also indicates that digital portfolios support certain dimensions of writing competence, self-monitoring, lower-level accuracy, sustained engagement, more reliably than they support the higher-order compositional judgment that distinguishes accomplished writers, a qualification this review treats as a finding in its own right rather than a weakness to be smoothed over.</w:t>
      </w:r>
    </w:p>
    <w:p w14:paraId="5341A480" w14:textId="77777777" w:rsidR="009170C4" w:rsidRPr="009170C4" w:rsidRDefault="009170C4" w:rsidP="009170C4">
      <w:pPr>
        <w:spacing w:line="276" w:lineRule="auto"/>
        <w:ind w:firstLine="567"/>
        <w:jc w:val="both"/>
        <w:rPr>
          <w:rFonts w:ascii="Times New Roman" w:eastAsia="Times New Roman" w:hAnsi="Times New Roman"/>
          <w:sz w:val="24"/>
          <w:szCs w:val="24"/>
          <w:lang w:val="en-ID"/>
        </w:rPr>
      </w:pPr>
      <w:r w:rsidRPr="009170C4">
        <w:rPr>
          <w:rFonts w:ascii="Times New Roman" w:eastAsia="Times New Roman" w:hAnsi="Times New Roman"/>
          <w:sz w:val="24"/>
          <w:szCs w:val="24"/>
          <w:lang w:val="en-ID"/>
        </w:rPr>
        <w:t>The fourth objective, identifying the challenges and solutions for implementation, deserves the same depth of synthesis given to the urgency argument rather than a closing mention. Four challenges recur with sufficient consistency across the literature to be treated as structural rather than incidental: an infrastructure and device-access gap that varies sharply across Indonesian schools; uneven teacher readiness to integrate digital tools into daily instructional routines; a time burden that falls on both students and teachers relative to single-test assessment; and a validity and reliability concern when portfolio evidence is asked to carry summative weight. None of these challenges is resolved by the conceptual case for digital portfolios alone, and each demands a correspondingly concrete response: phased rather than wholesale implementation, sustained rather than one-off teacher professional development, integration of portfolio work into existing instructional time rather than its addition as a separate burden, and the combination of analytic rubrics, inter-rater calibration, and multiple assessment forms where summative judgments are required. Treating these challenges with the same seriousness as the urgency argument is what keeps this review's conclusions grounded in implementation reality rather than in policy aspiration alone.</w:t>
      </w:r>
    </w:p>
    <w:p w14:paraId="77AB5701" w14:textId="1EA40466" w:rsidR="00E54FF4" w:rsidRDefault="009170C4" w:rsidP="009170C4">
      <w:pPr>
        <w:spacing w:line="276" w:lineRule="auto"/>
        <w:ind w:firstLine="567"/>
        <w:jc w:val="both"/>
        <w:rPr>
          <w:rFonts w:ascii="Times New Roman" w:eastAsia="Times New Roman" w:hAnsi="Times New Roman"/>
          <w:sz w:val="24"/>
          <w:szCs w:val="24"/>
          <w:lang w:val="en-ID"/>
        </w:rPr>
      </w:pPr>
      <w:r w:rsidRPr="009170C4">
        <w:rPr>
          <w:rFonts w:ascii="Times New Roman" w:eastAsia="Times New Roman" w:hAnsi="Times New Roman"/>
          <w:sz w:val="24"/>
          <w:szCs w:val="24"/>
          <w:lang w:val="en-ID"/>
        </w:rPr>
        <w:t>Taken together, digital portfolio assessment emerges from this review not as a settled solution but as a conceptually well-aligned and partially evidenced instrument whose value depends on how deliberately its reflective and collaborative mechanisms are designed into practice, and on how honestly its implementation challenges are addressed rather than assumed away. Further empirical research is needed to test these conceptual claims directly within Indonesian secondary writing classrooms, particularly research that distinguishes effects on lower-level writing accuracy from effects on higher-order organizational and rhetorical competence, and that compares implementation outcomes across urban and rural, and across well-resourced and under-resourced, school contexts. Such research would do more than confirm or disconfirm the arguments advanced here; it would supply the school-level evidence that the broader international literature on electronic portfolios has not yet generated for the Indonesian secondary context specifically, and that this conceptual synthesis, by its nature, cannot generate on its own</w:t>
      </w:r>
      <w:r w:rsidR="00E54FF4" w:rsidRPr="00E54FF4">
        <w:rPr>
          <w:rFonts w:ascii="Times New Roman" w:eastAsia="Times New Roman" w:hAnsi="Times New Roman"/>
          <w:sz w:val="24"/>
          <w:szCs w:val="24"/>
          <w:lang w:val="en-ID"/>
        </w:rPr>
        <w:t>.</w:t>
      </w:r>
    </w:p>
    <w:p w14:paraId="15497255" w14:textId="2E7132CA" w:rsidR="009170C4" w:rsidRPr="009170C4" w:rsidRDefault="009170C4" w:rsidP="009170C4">
      <w:pPr>
        <w:spacing w:before="240" w:after="240" w:line="276" w:lineRule="auto"/>
        <w:jc w:val="both"/>
        <w:rPr>
          <w:rFonts w:ascii="Times New Roman" w:eastAsia="Times New Roman" w:hAnsi="Times New Roman"/>
          <w:b/>
          <w:bCs/>
          <w:sz w:val="24"/>
          <w:szCs w:val="24"/>
          <w:lang w:val="en-ID"/>
        </w:rPr>
      </w:pPr>
      <w:r>
        <w:rPr>
          <w:rFonts w:ascii="Times New Roman" w:eastAsia="Times New Roman" w:hAnsi="Times New Roman"/>
          <w:b/>
          <w:bCs/>
          <w:sz w:val="24"/>
          <w:szCs w:val="24"/>
          <w:lang w:val="en-ID"/>
        </w:rPr>
        <w:lastRenderedPageBreak/>
        <w:t>RECOMMENDATIONS</w:t>
      </w:r>
    </w:p>
    <w:p w14:paraId="4375765E" w14:textId="77777777" w:rsidR="009170C4" w:rsidRPr="009170C4" w:rsidRDefault="009170C4" w:rsidP="009170C4">
      <w:pPr>
        <w:spacing w:line="276" w:lineRule="auto"/>
        <w:ind w:firstLine="567"/>
        <w:jc w:val="both"/>
        <w:rPr>
          <w:rFonts w:ascii="Times New Roman" w:eastAsia="Times New Roman" w:hAnsi="Times New Roman"/>
          <w:sz w:val="24"/>
          <w:szCs w:val="24"/>
          <w:lang w:val="en-ID"/>
        </w:rPr>
      </w:pPr>
      <w:r w:rsidRPr="009170C4">
        <w:rPr>
          <w:rFonts w:ascii="Times New Roman" w:eastAsia="Times New Roman" w:hAnsi="Times New Roman"/>
          <w:sz w:val="24"/>
          <w:szCs w:val="24"/>
          <w:lang w:val="en-ID"/>
        </w:rPr>
        <w:t>Teachers are encouraged to integrate digital portfolio assessment into daily writing instruction rather than treating it as a separate activity layered onto existing lesson plans, with particular attention to the reflective and self-assessment components that the evidence identifies as the actual mechanism behind the instrument's benefits, not merely the act of digital compilation itself. Technical training on user-friendly platforms such as Google Sites, Padlet, or Canva should be a standing part of teacher professional development rather than a one-time orientation, and school leaders and policymakers should treat infrastructure provision, time allocation for differentiated assessment planning, and parent orientation on the school's digital portfolio system as preconditions for implementation rather than as optional supports to be added later.</w:t>
      </w:r>
    </w:p>
    <w:p w14:paraId="0C4ACCF1" w14:textId="77777777" w:rsidR="009170C4" w:rsidRPr="009170C4" w:rsidRDefault="009170C4" w:rsidP="009170C4">
      <w:pPr>
        <w:spacing w:line="276" w:lineRule="auto"/>
        <w:ind w:firstLine="567"/>
        <w:jc w:val="both"/>
        <w:rPr>
          <w:rFonts w:ascii="Times New Roman" w:eastAsia="Times New Roman" w:hAnsi="Times New Roman"/>
          <w:sz w:val="24"/>
          <w:szCs w:val="24"/>
          <w:lang w:val="en-ID"/>
        </w:rPr>
      </w:pPr>
      <w:r w:rsidRPr="009170C4">
        <w:rPr>
          <w:rFonts w:ascii="Times New Roman" w:eastAsia="Times New Roman" w:hAnsi="Times New Roman"/>
          <w:sz w:val="24"/>
          <w:szCs w:val="24"/>
          <w:lang w:val="en-ID"/>
        </w:rPr>
        <w:t>Future researchers are encouraged to conduct empirical studies that test the conceptual claims advanced in this review directly within Indonesian secondary writing classrooms, with explicit attention to whether digital portfolio assessment affects lower-level writing accuracy and higher-order organizational and rhetorical competence differently, as the broader literature suggests it may. Comparative designs that examine implementation across urban and rural schools, across varying levels of infrastructure, and across different secondary educational contexts would be especially valuable, as would mixed-methods designs combining quantitative writing-outcome data with qualitative accounts of student and teacher experience, since this combination would generate the Indonesia-specific evidence base that conceptual synthesis alone cannot supply.</w:t>
      </w:r>
    </w:p>
    <w:p w14:paraId="100132F9" w14:textId="5AD3B079" w:rsidR="00914D83" w:rsidRDefault="0081190E" w:rsidP="00392BDF">
      <w:pPr>
        <w:spacing w:before="240" w:after="240" w:line="276" w:lineRule="auto"/>
        <w:jc w:val="both"/>
        <w:rPr>
          <w:rFonts w:ascii="Times New Roman" w:hAnsi="Times New Roman"/>
          <w:b/>
          <w:bCs/>
          <w:sz w:val="24"/>
          <w:szCs w:val="24"/>
          <w:lang w:val="id-ID"/>
        </w:rPr>
      </w:pPr>
      <w:r w:rsidRPr="00CB0F37">
        <w:rPr>
          <w:rFonts w:ascii="Times New Roman" w:hAnsi="Times New Roman"/>
          <w:b/>
          <w:bCs/>
          <w:sz w:val="24"/>
          <w:szCs w:val="24"/>
          <w:lang w:val="id-ID"/>
        </w:rPr>
        <w:t>REFERENCES</w:t>
      </w:r>
    </w:p>
    <w:p w14:paraId="662542DA" w14:textId="35277903" w:rsidR="002C0006" w:rsidRPr="002C0006" w:rsidRDefault="002C0006" w:rsidP="002C0006">
      <w:pPr>
        <w:widowControl w:val="0"/>
        <w:autoSpaceDE w:val="0"/>
        <w:autoSpaceDN w:val="0"/>
        <w:adjustRightInd w:val="0"/>
        <w:ind w:left="567" w:hanging="567"/>
        <w:jc w:val="both"/>
        <w:rPr>
          <w:rFonts w:ascii="Times New Roman" w:hAnsi="Times New Roman"/>
          <w:sz w:val="24"/>
          <w:szCs w:val="24"/>
        </w:rPr>
      </w:pPr>
      <w:r>
        <w:rPr>
          <w:rFonts w:ascii="Times New Roman" w:hAnsi="Times New Roman"/>
          <w:bCs/>
          <w:sz w:val="24"/>
          <w:szCs w:val="24"/>
          <w:lang w:val="id-ID"/>
        </w:rPr>
        <w:fldChar w:fldCharType="begin" w:fldLock="1"/>
      </w:r>
      <w:r>
        <w:rPr>
          <w:rFonts w:ascii="Times New Roman" w:hAnsi="Times New Roman"/>
          <w:bCs/>
          <w:sz w:val="24"/>
          <w:szCs w:val="24"/>
          <w:lang w:val="id-ID"/>
        </w:rPr>
        <w:instrText xml:space="preserve">ADDIN Mendeley Bibliography CSL_BIBLIOGRAPHY </w:instrText>
      </w:r>
      <w:r>
        <w:rPr>
          <w:rFonts w:ascii="Times New Roman" w:hAnsi="Times New Roman"/>
          <w:bCs/>
          <w:sz w:val="24"/>
          <w:szCs w:val="24"/>
          <w:lang w:val="id-ID"/>
        </w:rPr>
        <w:fldChar w:fldCharType="separate"/>
      </w:r>
      <w:r w:rsidRPr="002C0006">
        <w:rPr>
          <w:rFonts w:ascii="Times New Roman" w:hAnsi="Times New Roman"/>
          <w:sz w:val="24"/>
          <w:szCs w:val="24"/>
        </w:rPr>
        <w:t xml:space="preserve">Adrianik, I. C. (2023). PENGEMBANGAN PORTOFOLIO DIGITAL MELALUI MEDIA CANVA DAN YOUTUBE PADA PEMBELAJARAN SISWA KELAS V  SDN BULUKERTO 01 BATU TAHUN PELAJARAN 2022/2023. </w:t>
      </w:r>
      <w:r w:rsidRPr="002C0006">
        <w:rPr>
          <w:rFonts w:ascii="Times New Roman" w:hAnsi="Times New Roman"/>
          <w:i/>
          <w:iCs/>
          <w:sz w:val="24"/>
          <w:szCs w:val="24"/>
        </w:rPr>
        <w:t>Jurnal Pendidikan Taman Widya Humaniora</w:t>
      </w:r>
      <w:r w:rsidRPr="002C0006">
        <w:rPr>
          <w:rFonts w:ascii="Times New Roman" w:hAnsi="Times New Roman"/>
          <w:sz w:val="24"/>
          <w:szCs w:val="24"/>
        </w:rPr>
        <w:t xml:space="preserve">, </w:t>
      </w:r>
      <w:r w:rsidRPr="002C0006">
        <w:rPr>
          <w:rFonts w:ascii="Times New Roman" w:hAnsi="Times New Roman"/>
          <w:i/>
          <w:iCs/>
          <w:sz w:val="24"/>
          <w:szCs w:val="24"/>
        </w:rPr>
        <w:t>2</w:t>
      </w:r>
      <w:r w:rsidRPr="002C0006">
        <w:rPr>
          <w:rFonts w:ascii="Times New Roman" w:hAnsi="Times New Roman"/>
          <w:sz w:val="24"/>
          <w:szCs w:val="24"/>
        </w:rPr>
        <w:t>(4), 1970–1994. https://jurnal.widyahumaniora.org/index.php/jptwh/article/view/198</w:t>
      </w:r>
    </w:p>
    <w:p w14:paraId="3E82930A" w14:textId="77777777" w:rsidR="002C0006" w:rsidRPr="002C0006" w:rsidRDefault="002C0006" w:rsidP="002C0006">
      <w:pPr>
        <w:widowControl w:val="0"/>
        <w:autoSpaceDE w:val="0"/>
        <w:autoSpaceDN w:val="0"/>
        <w:adjustRightInd w:val="0"/>
        <w:ind w:left="567" w:hanging="567"/>
        <w:jc w:val="both"/>
        <w:rPr>
          <w:rFonts w:ascii="Times New Roman" w:hAnsi="Times New Roman"/>
          <w:sz w:val="24"/>
          <w:szCs w:val="24"/>
        </w:rPr>
      </w:pPr>
      <w:r w:rsidRPr="002C0006">
        <w:rPr>
          <w:rFonts w:ascii="Times New Roman" w:hAnsi="Times New Roman"/>
          <w:sz w:val="24"/>
          <w:szCs w:val="24"/>
        </w:rPr>
        <w:t xml:space="preserve">Ali, A. K. (2025). IMPLEMENTASI E-PORTOFOLIO DIGITAL SEBAGAI INSTRUMEN PENILAIAN AUTENTIK DI PERGURUAN TINGGI: SYSTEMATIC LITERATURE REVIEW. </w:t>
      </w:r>
      <w:r w:rsidRPr="002C0006">
        <w:rPr>
          <w:rFonts w:ascii="Times New Roman" w:hAnsi="Times New Roman"/>
          <w:i/>
          <w:iCs/>
          <w:sz w:val="24"/>
          <w:szCs w:val="24"/>
        </w:rPr>
        <w:t>EDUTECH : Jurnal Inovasi Pendidikan Berbantuan Teknologi</w:t>
      </w:r>
      <w:r w:rsidRPr="002C0006">
        <w:rPr>
          <w:rFonts w:ascii="Times New Roman" w:hAnsi="Times New Roman"/>
          <w:sz w:val="24"/>
          <w:szCs w:val="24"/>
        </w:rPr>
        <w:t xml:space="preserve">, </w:t>
      </w:r>
      <w:r w:rsidRPr="002C0006">
        <w:rPr>
          <w:rFonts w:ascii="Times New Roman" w:hAnsi="Times New Roman"/>
          <w:i/>
          <w:iCs/>
          <w:sz w:val="24"/>
          <w:szCs w:val="24"/>
        </w:rPr>
        <w:t>5</w:t>
      </w:r>
      <w:r w:rsidRPr="002C0006">
        <w:rPr>
          <w:rFonts w:ascii="Times New Roman" w:hAnsi="Times New Roman"/>
          <w:sz w:val="24"/>
          <w:szCs w:val="24"/>
        </w:rPr>
        <w:t>(4), 759–769. https://doi.org/10.51878/edutech.v5i4.7867</w:t>
      </w:r>
    </w:p>
    <w:p w14:paraId="324FCB6A" w14:textId="77777777" w:rsidR="002C0006" w:rsidRPr="002C0006" w:rsidRDefault="002C0006" w:rsidP="002C0006">
      <w:pPr>
        <w:widowControl w:val="0"/>
        <w:autoSpaceDE w:val="0"/>
        <w:autoSpaceDN w:val="0"/>
        <w:adjustRightInd w:val="0"/>
        <w:ind w:left="567" w:hanging="567"/>
        <w:jc w:val="both"/>
        <w:rPr>
          <w:rFonts w:ascii="Times New Roman" w:hAnsi="Times New Roman"/>
          <w:sz w:val="24"/>
          <w:szCs w:val="24"/>
        </w:rPr>
      </w:pPr>
      <w:r w:rsidRPr="002C0006">
        <w:rPr>
          <w:rFonts w:ascii="Times New Roman" w:hAnsi="Times New Roman"/>
          <w:sz w:val="24"/>
          <w:szCs w:val="24"/>
        </w:rPr>
        <w:t xml:space="preserve">Anggraena, Y., Ginanto, D. E., Kesuma, A. T., &amp; Setiyowati, D. (2025). </w:t>
      </w:r>
      <w:r w:rsidRPr="002C0006">
        <w:rPr>
          <w:rFonts w:ascii="Times New Roman" w:hAnsi="Times New Roman"/>
          <w:i/>
          <w:iCs/>
          <w:sz w:val="24"/>
          <w:szCs w:val="24"/>
        </w:rPr>
        <w:t>Panduan Pembelajaran dan Asesmen 2025: Panduan Pembelajaran dan Asesmen Pendidikan Anak Usia Dini, Pendidikan Dasar dan Pendidikan Menengah</w:t>
      </w:r>
      <w:r w:rsidRPr="002C0006">
        <w:rPr>
          <w:rFonts w:ascii="Times New Roman" w:hAnsi="Times New Roman"/>
          <w:sz w:val="24"/>
          <w:szCs w:val="24"/>
        </w:rPr>
        <w:t xml:space="preserve"> (Revisi Ke-3). Badan Standar, Kurikulum, dan Asesmen Pendidikan (BSKAP) Kementerian Pendidikan, Kebudayaan, Riset, dan Teknologi.</w:t>
      </w:r>
    </w:p>
    <w:p w14:paraId="3A3B60BF" w14:textId="77777777" w:rsidR="002C0006" w:rsidRPr="002C0006" w:rsidRDefault="002C0006" w:rsidP="002C0006">
      <w:pPr>
        <w:widowControl w:val="0"/>
        <w:autoSpaceDE w:val="0"/>
        <w:autoSpaceDN w:val="0"/>
        <w:adjustRightInd w:val="0"/>
        <w:ind w:left="567" w:hanging="567"/>
        <w:jc w:val="both"/>
        <w:rPr>
          <w:rFonts w:ascii="Times New Roman" w:hAnsi="Times New Roman"/>
          <w:sz w:val="24"/>
          <w:szCs w:val="24"/>
        </w:rPr>
      </w:pPr>
      <w:r w:rsidRPr="002C0006">
        <w:rPr>
          <w:rFonts w:ascii="Times New Roman" w:hAnsi="Times New Roman"/>
          <w:sz w:val="24"/>
          <w:szCs w:val="24"/>
        </w:rPr>
        <w:t xml:space="preserve">By, D. L., &amp; Veng, B. (2024). USING ORAL PRESENTATION TO PROMOTE SPEAKING ENGLISH IN EFL/ESL CONTEXT. </w:t>
      </w:r>
      <w:r w:rsidRPr="002C0006">
        <w:rPr>
          <w:rFonts w:ascii="Times New Roman" w:hAnsi="Times New Roman"/>
          <w:i/>
          <w:iCs/>
          <w:sz w:val="24"/>
          <w:szCs w:val="24"/>
        </w:rPr>
        <w:t>SUJANA (Education and Learning Review)</w:t>
      </w:r>
      <w:r w:rsidRPr="002C0006">
        <w:rPr>
          <w:rFonts w:ascii="Times New Roman" w:hAnsi="Times New Roman"/>
          <w:sz w:val="24"/>
          <w:szCs w:val="24"/>
        </w:rPr>
        <w:t>, 64–76. https://doi.org/10.56943/sujana.v3i2.617</w:t>
      </w:r>
    </w:p>
    <w:p w14:paraId="12FB64EB" w14:textId="77777777" w:rsidR="002C0006" w:rsidRPr="002C0006" w:rsidRDefault="002C0006" w:rsidP="002C0006">
      <w:pPr>
        <w:widowControl w:val="0"/>
        <w:autoSpaceDE w:val="0"/>
        <w:autoSpaceDN w:val="0"/>
        <w:adjustRightInd w:val="0"/>
        <w:ind w:left="567" w:hanging="567"/>
        <w:jc w:val="both"/>
        <w:rPr>
          <w:rFonts w:ascii="Times New Roman" w:hAnsi="Times New Roman"/>
          <w:sz w:val="24"/>
          <w:szCs w:val="24"/>
        </w:rPr>
      </w:pPr>
      <w:r w:rsidRPr="002C0006">
        <w:rPr>
          <w:rFonts w:ascii="Times New Roman" w:hAnsi="Times New Roman"/>
          <w:sz w:val="24"/>
          <w:szCs w:val="24"/>
        </w:rPr>
        <w:lastRenderedPageBreak/>
        <w:t xml:space="preserve">Connaway, L. S., &amp; Radford, M. L. (2021). </w:t>
      </w:r>
      <w:r w:rsidRPr="002C0006">
        <w:rPr>
          <w:rFonts w:ascii="Times New Roman" w:hAnsi="Times New Roman"/>
          <w:i/>
          <w:iCs/>
          <w:sz w:val="24"/>
          <w:szCs w:val="24"/>
        </w:rPr>
        <w:t>Research Methods in Library and Information Science: : Library and Information Science Text Series</w:t>
      </w:r>
      <w:r w:rsidRPr="002C0006">
        <w:rPr>
          <w:rFonts w:ascii="Times New Roman" w:hAnsi="Times New Roman"/>
          <w:sz w:val="24"/>
          <w:szCs w:val="24"/>
        </w:rPr>
        <w:t xml:space="preserve"> (Seventh). Bloomsbury Publishing.</w:t>
      </w:r>
    </w:p>
    <w:p w14:paraId="515B4391" w14:textId="77777777" w:rsidR="002C0006" w:rsidRPr="002C0006" w:rsidRDefault="002C0006" w:rsidP="002C0006">
      <w:pPr>
        <w:widowControl w:val="0"/>
        <w:autoSpaceDE w:val="0"/>
        <w:autoSpaceDN w:val="0"/>
        <w:adjustRightInd w:val="0"/>
        <w:ind w:left="567" w:hanging="567"/>
        <w:jc w:val="both"/>
        <w:rPr>
          <w:rFonts w:ascii="Times New Roman" w:hAnsi="Times New Roman"/>
          <w:sz w:val="24"/>
          <w:szCs w:val="24"/>
        </w:rPr>
      </w:pPr>
      <w:r w:rsidRPr="002C0006">
        <w:rPr>
          <w:rFonts w:ascii="Times New Roman" w:hAnsi="Times New Roman"/>
          <w:sz w:val="24"/>
          <w:szCs w:val="24"/>
        </w:rPr>
        <w:t xml:space="preserve">Doğan, Y., Yıldırım, N. T., &amp; Batdı, V. (2024). Effectiveness of portfolio assessment in primary education: A multi-complementary research approach. </w:t>
      </w:r>
      <w:r w:rsidRPr="002C0006">
        <w:rPr>
          <w:rFonts w:ascii="Times New Roman" w:hAnsi="Times New Roman"/>
          <w:i/>
          <w:iCs/>
          <w:sz w:val="24"/>
          <w:szCs w:val="24"/>
        </w:rPr>
        <w:t>Evaluation and Program Planning</w:t>
      </w:r>
      <w:r w:rsidRPr="002C0006">
        <w:rPr>
          <w:rFonts w:ascii="Times New Roman" w:hAnsi="Times New Roman"/>
          <w:sz w:val="24"/>
          <w:szCs w:val="24"/>
        </w:rPr>
        <w:t xml:space="preserve">, </w:t>
      </w:r>
      <w:r w:rsidRPr="002C0006">
        <w:rPr>
          <w:rFonts w:ascii="Times New Roman" w:hAnsi="Times New Roman"/>
          <w:i/>
          <w:iCs/>
          <w:sz w:val="24"/>
          <w:szCs w:val="24"/>
        </w:rPr>
        <w:t>106</w:t>
      </w:r>
      <w:r w:rsidRPr="002C0006">
        <w:rPr>
          <w:rFonts w:ascii="Times New Roman" w:hAnsi="Times New Roman"/>
          <w:sz w:val="24"/>
          <w:szCs w:val="24"/>
        </w:rPr>
        <w:t>, 102461. https://doi.org/10.1016/j.evalprogplan.2024.102461</w:t>
      </w:r>
    </w:p>
    <w:p w14:paraId="353BF45B" w14:textId="77777777" w:rsidR="002C0006" w:rsidRPr="002C0006" w:rsidRDefault="002C0006" w:rsidP="002C0006">
      <w:pPr>
        <w:widowControl w:val="0"/>
        <w:autoSpaceDE w:val="0"/>
        <w:autoSpaceDN w:val="0"/>
        <w:adjustRightInd w:val="0"/>
        <w:ind w:left="567" w:hanging="567"/>
        <w:jc w:val="both"/>
        <w:rPr>
          <w:rFonts w:ascii="Times New Roman" w:hAnsi="Times New Roman"/>
          <w:sz w:val="24"/>
          <w:szCs w:val="24"/>
        </w:rPr>
      </w:pPr>
      <w:r w:rsidRPr="002C0006">
        <w:rPr>
          <w:rFonts w:ascii="Times New Roman" w:hAnsi="Times New Roman"/>
          <w:sz w:val="24"/>
          <w:szCs w:val="24"/>
        </w:rPr>
        <w:t xml:space="preserve">Firdaus, E. N., Wulandari, R. M., &amp; Arini, L. D. D. (2023). ENGLISH BASED SMART INNOVATION THROUGH INTERACTIVE VIDEO AT BHINA KARYA AND SATYA KARYA KARANGANYAR VOCATIONAL SCHOOLS. </w:t>
      </w:r>
      <w:r w:rsidRPr="002C0006">
        <w:rPr>
          <w:rFonts w:ascii="Times New Roman" w:hAnsi="Times New Roman"/>
          <w:i/>
          <w:iCs/>
          <w:sz w:val="24"/>
          <w:szCs w:val="24"/>
        </w:rPr>
        <w:t>SUJANA (Education and Learning Review)</w:t>
      </w:r>
      <w:r w:rsidRPr="002C0006">
        <w:rPr>
          <w:rFonts w:ascii="Times New Roman" w:hAnsi="Times New Roman"/>
          <w:sz w:val="24"/>
          <w:szCs w:val="24"/>
        </w:rPr>
        <w:t xml:space="preserve">, </w:t>
      </w:r>
      <w:r w:rsidRPr="002C0006">
        <w:rPr>
          <w:rFonts w:ascii="Times New Roman" w:hAnsi="Times New Roman"/>
          <w:i/>
          <w:iCs/>
          <w:sz w:val="24"/>
          <w:szCs w:val="24"/>
        </w:rPr>
        <w:t>2</w:t>
      </w:r>
      <w:r w:rsidRPr="002C0006">
        <w:rPr>
          <w:rFonts w:ascii="Times New Roman" w:hAnsi="Times New Roman"/>
          <w:sz w:val="24"/>
          <w:szCs w:val="24"/>
        </w:rPr>
        <w:t>(1), 17–26. https://doi.org/10.56943/sujana.v2.i1.255</w:t>
      </w:r>
    </w:p>
    <w:p w14:paraId="581A295D" w14:textId="77777777" w:rsidR="002C0006" w:rsidRPr="002C0006" w:rsidRDefault="002C0006" w:rsidP="002C0006">
      <w:pPr>
        <w:widowControl w:val="0"/>
        <w:autoSpaceDE w:val="0"/>
        <w:autoSpaceDN w:val="0"/>
        <w:adjustRightInd w:val="0"/>
        <w:ind w:left="567" w:hanging="567"/>
        <w:jc w:val="both"/>
        <w:rPr>
          <w:rFonts w:ascii="Times New Roman" w:hAnsi="Times New Roman"/>
          <w:sz w:val="24"/>
          <w:szCs w:val="24"/>
        </w:rPr>
      </w:pPr>
      <w:r w:rsidRPr="002C0006">
        <w:rPr>
          <w:rFonts w:ascii="Times New Roman" w:hAnsi="Times New Roman"/>
          <w:sz w:val="24"/>
          <w:szCs w:val="24"/>
        </w:rPr>
        <w:t xml:space="preserve">Guo, H., &amp; Li, D. (2024). The Effect of Electronic Portfolio-Based Writing Instruction on the Second Language Writing Performance and Writing Self-Efficacy of EFL Learners: A Mixed Methods Study. </w:t>
      </w:r>
      <w:r w:rsidRPr="002C0006">
        <w:rPr>
          <w:rFonts w:ascii="Times New Roman" w:hAnsi="Times New Roman"/>
          <w:i/>
          <w:iCs/>
          <w:sz w:val="24"/>
          <w:szCs w:val="24"/>
        </w:rPr>
        <w:t>Sage Open</w:t>
      </w:r>
      <w:r w:rsidRPr="002C0006">
        <w:rPr>
          <w:rFonts w:ascii="Times New Roman" w:hAnsi="Times New Roman"/>
          <w:sz w:val="24"/>
          <w:szCs w:val="24"/>
        </w:rPr>
        <w:t xml:space="preserve">, </w:t>
      </w:r>
      <w:r w:rsidRPr="002C0006">
        <w:rPr>
          <w:rFonts w:ascii="Times New Roman" w:hAnsi="Times New Roman"/>
          <w:i/>
          <w:iCs/>
          <w:sz w:val="24"/>
          <w:szCs w:val="24"/>
        </w:rPr>
        <w:t>14</w:t>
      </w:r>
      <w:r w:rsidRPr="002C0006">
        <w:rPr>
          <w:rFonts w:ascii="Times New Roman" w:hAnsi="Times New Roman"/>
          <w:sz w:val="24"/>
          <w:szCs w:val="24"/>
        </w:rPr>
        <w:t>(2). https://doi.org/10.1177/21582440241257697</w:t>
      </w:r>
    </w:p>
    <w:p w14:paraId="7EB1BA9C" w14:textId="77777777" w:rsidR="002C0006" w:rsidRPr="002C0006" w:rsidRDefault="002C0006" w:rsidP="002C0006">
      <w:pPr>
        <w:widowControl w:val="0"/>
        <w:autoSpaceDE w:val="0"/>
        <w:autoSpaceDN w:val="0"/>
        <w:adjustRightInd w:val="0"/>
        <w:ind w:left="567" w:hanging="567"/>
        <w:jc w:val="both"/>
        <w:rPr>
          <w:rFonts w:ascii="Times New Roman" w:hAnsi="Times New Roman"/>
          <w:sz w:val="24"/>
          <w:szCs w:val="24"/>
        </w:rPr>
      </w:pPr>
      <w:r w:rsidRPr="002C0006">
        <w:rPr>
          <w:rFonts w:ascii="Times New Roman" w:hAnsi="Times New Roman"/>
          <w:sz w:val="24"/>
          <w:szCs w:val="24"/>
        </w:rPr>
        <w:t xml:space="preserve">Hafner, C. A., &amp; Ho, W. Y. J. (2020). Assessing digital multimodal composing in second language writing: Towards a process-based model. </w:t>
      </w:r>
      <w:r w:rsidRPr="002C0006">
        <w:rPr>
          <w:rFonts w:ascii="Times New Roman" w:hAnsi="Times New Roman"/>
          <w:i/>
          <w:iCs/>
          <w:sz w:val="24"/>
          <w:szCs w:val="24"/>
        </w:rPr>
        <w:t>Journal of Second Language Writing</w:t>
      </w:r>
      <w:r w:rsidRPr="002C0006">
        <w:rPr>
          <w:rFonts w:ascii="Times New Roman" w:hAnsi="Times New Roman"/>
          <w:sz w:val="24"/>
          <w:szCs w:val="24"/>
        </w:rPr>
        <w:t xml:space="preserve">, </w:t>
      </w:r>
      <w:r w:rsidRPr="002C0006">
        <w:rPr>
          <w:rFonts w:ascii="Times New Roman" w:hAnsi="Times New Roman"/>
          <w:i/>
          <w:iCs/>
          <w:sz w:val="24"/>
          <w:szCs w:val="24"/>
        </w:rPr>
        <w:t>47</w:t>
      </w:r>
      <w:r w:rsidRPr="002C0006">
        <w:rPr>
          <w:rFonts w:ascii="Times New Roman" w:hAnsi="Times New Roman"/>
          <w:sz w:val="24"/>
          <w:szCs w:val="24"/>
        </w:rPr>
        <w:t>, 100710. https://doi.org/10.1016/j.jslw.2020.100710</w:t>
      </w:r>
    </w:p>
    <w:p w14:paraId="0350ED1C" w14:textId="77777777" w:rsidR="002C0006" w:rsidRPr="002C0006" w:rsidRDefault="002C0006" w:rsidP="002C0006">
      <w:pPr>
        <w:widowControl w:val="0"/>
        <w:autoSpaceDE w:val="0"/>
        <w:autoSpaceDN w:val="0"/>
        <w:adjustRightInd w:val="0"/>
        <w:ind w:left="567" w:hanging="567"/>
        <w:jc w:val="both"/>
        <w:rPr>
          <w:rFonts w:ascii="Times New Roman" w:hAnsi="Times New Roman"/>
          <w:sz w:val="24"/>
          <w:szCs w:val="24"/>
        </w:rPr>
      </w:pPr>
      <w:r w:rsidRPr="002C0006">
        <w:rPr>
          <w:rFonts w:ascii="Times New Roman" w:hAnsi="Times New Roman"/>
          <w:sz w:val="24"/>
          <w:szCs w:val="24"/>
        </w:rPr>
        <w:t xml:space="preserve">Huang, Y., &amp; Zhang, L. J. (2022). Facilitating L2 writers’ metacognitive strategy use in argumentative writing using a process-genre approach. </w:t>
      </w:r>
      <w:r w:rsidRPr="002C0006">
        <w:rPr>
          <w:rFonts w:ascii="Times New Roman" w:hAnsi="Times New Roman"/>
          <w:i/>
          <w:iCs/>
          <w:sz w:val="24"/>
          <w:szCs w:val="24"/>
        </w:rPr>
        <w:t>Frontiers in Psychology</w:t>
      </w:r>
      <w:r w:rsidRPr="002C0006">
        <w:rPr>
          <w:rFonts w:ascii="Times New Roman" w:hAnsi="Times New Roman"/>
          <w:sz w:val="24"/>
          <w:szCs w:val="24"/>
        </w:rPr>
        <w:t xml:space="preserve">, </w:t>
      </w:r>
      <w:r w:rsidRPr="002C0006">
        <w:rPr>
          <w:rFonts w:ascii="Times New Roman" w:hAnsi="Times New Roman"/>
          <w:i/>
          <w:iCs/>
          <w:sz w:val="24"/>
          <w:szCs w:val="24"/>
        </w:rPr>
        <w:t>13</w:t>
      </w:r>
      <w:r w:rsidRPr="002C0006">
        <w:rPr>
          <w:rFonts w:ascii="Times New Roman" w:hAnsi="Times New Roman"/>
          <w:sz w:val="24"/>
          <w:szCs w:val="24"/>
        </w:rPr>
        <w:t>. https://doi.org/10.3389/fpsyg.2022.1036831</w:t>
      </w:r>
    </w:p>
    <w:p w14:paraId="52A4F727" w14:textId="77777777" w:rsidR="002C0006" w:rsidRPr="002C0006" w:rsidRDefault="002C0006" w:rsidP="002C0006">
      <w:pPr>
        <w:widowControl w:val="0"/>
        <w:autoSpaceDE w:val="0"/>
        <w:autoSpaceDN w:val="0"/>
        <w:adjustRightInd w:val="0"/>
        <w:ind w:left="567" w:hanging="567"/>
        <w:jc w:val="both"/>
        <w:rPr>
          <w:rFonts w:ascii="Times New Roman" w:hAnsi="Times New Roman"/>
          <w:sz w:val="24"/>
          <w:szCs w:val="24"/>
        </w:rPr>
      </w:pPr>
      <w:r w:rsidRPr="002C0006">
        <w:rPr>
          <w:rFonts w:ascii="Times New Roman" w:hAnsi="Times New Roman"/>
          <w:sz w:val="24"/>
          <w:szCs w:val="24"/>
        </w:rPr>
        <w:t xml:space="preserve">Jiang, L., Yu, S., &amp; Lee, I. (2022). Developing a genre-based model for assessing digital multimodal composing in second language writing: Integrating theory with practice. </w:t>
      </w:r>
      <w:r w:rsidRPr="002C0006">
        <w:rPr>
          <w:rFonts w:ascii="Times New Roman" w:hAnsi="Times New Roman"/>
          <w:i/>
          <w:iCs/>
          <w:sz w:val="24"/>
          <w:szCs w:val="24"/>
        </w:rPr>
        <w:t>Journal of Second Language Writing</w:t>
      </w:r>
      <w:r w:rsidRPr="002C0006">
        <w:rPr>
          <w:rFonts w:ascii="Times New Roman" w:hAnsi="Times New Roman"/>
          <w:sz w:val="24"/>
          <w:szCs w:val="24"/>
        </w:rPr>
        <w:t xml:space="preserve">, </w:t>
      </w:r>
      <w:r w:rsidRPr="002C0006">
        <w:rPr>
          <w:rFonts w:ascii="Times New Roman" w:hAnsi="Times New Roman"/>
          <w:i/>
          <w:iCs/>
          <w:sz w:val="24"/>
          <w:szCs w:val="24"/>
        </w:rPr>
        <w:t>57</w:t>
      </w:r>
      <w:r w:rsidRPr="002C0006">
        <w:rPr>
          <w:rFonts w:ascii="Times New Roman" w:hAnsi="Times New Roman"/>
          <w:sz w:val="24"/>
          <w:szCs w:val="24"/>
        </w:rPr>
        <w:t>, 100869. https://doi.org/10.1016/j.jslw.2022.100869</w:t>
      </w:r>
    </w:p>
    <w:p w14:paraId="1DAA84EA" w14:textId="77777777" w:rsidR="002C0006" w:rsidRPr="002C0006" w:rsidRDefault="002C0006" w:rsidP="002C0006">
      <w:pPr>
        <w:widowControl w:val="0"/>
        <w:autoSpaceDE w:val="0"/>
        <w:autoSpaceDN w:val="0"/>
        <w:adjustRightInd w:val="0"/>
        <w:ind w:left="567" w:hanging="567"/>
        <w:jc w:val="both"/>
        <w:rPr>
          <w:rFonts w:ascii="Times New Roman" w:hAnsi="Times New Roman"/>
          <w:sz w:val="24"/>
          <w:szCs w:val="24"/>
        </w:rPr>
      </w:pPr>
      <w:r w:rsidRPr="002C0006">
        <w:rPr>
          <w:rFonts w:ascii="Times New Roman" w:hAnsi="Times New Roman"/>
          <w:sz w:val="24"/>
          <w:szCs w:val="24"/>
        </w:rPr>
        <w:t xml:space="preserve">Kemendikbud. (2019). Panduan Penilaian Portofolio. In </w:t>
      </w:r>
      <w:r w:rsidRPr="002C0006">
        <w:rPr>
          <w:rFonts w:ascii="Times New Roman" w:hAnsi="Times New Roman"/>
          <w:i/>
          <w:iCs/>
          <w:sz w:val="24"/>
          <w:szCs w:val="24"/>
        </w:rPr>
        <w:t>Pusat Penilaian Pendidikan</w:t>
      </w:r>
      <w:r w:rsidRPr="002C0006">
        <w:rPr>
          <w:rFonts w:ascii="Times New Roman" w:hAnsi="Times New Roman"/>
          <w:sz w:val="24"/>
          <w:szCs w:val="24"/>
        </w:rPr>
        <w:t>.</w:t>
      </w:r>
    </w:p>
    <w:p w14:paraId="31B9C526" w14:textId="77777777" w:rsidR="002C0006" w:rsidRPr="002C0006" w:rsidRDefault="002C0006" w:rsidP="002C0006">
      <w:pPr>
        <w:widowControl w:val="0"/>
        <w:autoSpaceDE w:val="0"/>
        <w:autoSpaceDN w:val="0"/>
        <w:adjustRightInd w:val="0"/>
        <w:ind w:left="567" w:hanging="567"/>
        <w:jc w:val="both"/>
        <w:rPr>
          <w:rFonts w:ascii="Times New Roman" w:hAnsi="Times New Roman"/>
          <w:sz w:val="24"/>
          <w:szCs w:val="24"/>
        </w:rPr>
      </w:pPr>
      <w:r w:rsidRPr="002C0006">
        <w:rPr>
          <w:rFonts w:ascii="Times New Roman" w:hAnsi="Times New Roman"/>
          <w:sz w:val="24"/>
          <w:szCs w:val="24"/>
        </w:rPr>
        <w:t xml:space="preserve">Lam, R. (2022). E-Portfolios for self-regulated and co-regulated learning: A review. </w:t>
      </w:r>
      <w:r w:rsidRPr="002C0006">
        <w:rPr>
          <w:rFonts w:ascii="Times New Roman" w:hAnsi="Times New Roman"/>
          <w:i/>
          <w:iCs/>
          <w:sz w:val="24"/>
          <w:szCs w:val="24"/>
        </w:rPr>
        <w:t>Frontiers in Psychology</w:t>
      </w:r>
      <w:r w:rsidRPr="002C0006">
        <w:rPr>
          <w:rFonts w:ascii="Times New Roman" w:hAnsi="Times New Roman"/>
          <w:sz w:val="24"/>
          <w:szCs w:val="24"/>
        </w:rPr>
        <w:t xml:space="preserve">, </w:t>
      </w:r>
      <w:r w:rsidRPr="002C0006">
        <w:rPr>
          <w:rFonts w:ascii="Times New Roman" w:hAnsi="Times New Roman"/>
          <w:i/>
          <w:iCs/>
          <w:sz w:val="24"/>
          <w:szCs w:val="24"/>
        </w:rPr>
        <w:t>13</w:t>
      </w:r>
      <w:r w:rsidRPr="002C0006">
        <w:rPr>
          <w:rFonts w:ascii="Times New Roman" w:hAnsi="Times New Roman"/>
          <w:sz w:val="24"/>
          <w:szCs w:val="24"/>
        </w:rPr>
        <w:t>. https://doi.org/10.3389/fpsyg.2022.1079385</w:t>
      </w:r>
    </w:p>
    <w:p w14:paraId="3ECD08DD" w14:textId="77777777" w:rsidR="002C0006" w:rsidRPr="002C0006" w:rsidRDefault="002C0006" w:rsidP="002C0006">
      <w:pPr>
        <w:widowControl w:val="0"/>
        <w:autoSpaceDE w:val="0"/>
        <w:autoSpaceDN w:val="0"/>
        <w:adjustRightInd w:val="0"/>
        <w:ind w:left="567" w:hanging="567"/>
        <w:jc w:val="both"/>
        <w:rPr>
          <w:rFonts w:ascii="Times New Roman" w:hAnsi="Times New Roman"/>
          <w:sz w:val="24"/>
          <w:szCs w:val="24"/>
        </w:rPr>
      </w:pPr>
      <w:r w:rsidRPr="002C0006">
        <w:rPr>
          <w:rFonts w:ascii="Times New Roman" w:hAnsi="Times New Roman"/>
          <w:sz w:val="24"/>
          <w:szCs w:val="24"/>
        </w:rPr>
        <w:t xml:space="preserve">Marzuki, I. (2023). Urgensi Penilaian Portofolio Dalam Evaluasi Pembelajaran Di Era Society 5.0. </w:t>
      </w:r>
      <w:r w:rsidRPr="002C0006">
        <w:rPr>
          <w:rFonts w:ascii="Times New Roman" w:hAnsi="Times New Roman"/>
          <w:i/>
          <w:iCs/>
          <w:sz w:val="24"/>
          <w:szCs w:val="24"/>
        </w:rPr>
        <w:t>Tadarus Tarbawy : Jurnal Kajian Islam Dan Pendidikan</w:t>
      </w:r>
      <w:r w:rsidRPr="002C0006">
        <w:rPr>
          <w:rFonts w:ascii="Times New Roman" w:hAnsi="Times New Roman"/>
          <w:sz w:val="24"/>
          <w:szCs w:val="24"/>
        </w:rPr>
        <w:t xml:space="preserve">, </w:t>
      </w:r>
      <w:r w:rsidRPr="002C0006">
        <w:rPr>
          <w:rFonts w:ascii="Times New Roman" w:hAnsi="Times New Roman"/>
          <w:i/>
          <w:iCs/>
          <w:sz w:val="24"/>
          <w:szCs w:val="24"/>
        </w:rPr>
        <w:t>5</w:t>
      </w:r>
      <w:r w:rsidRPr="002C0006">
        <w:rPr>
          <w:rFonts w:ascii="Times New Roman" w:hAnsi="Times New Roman"/>
          <w:sz w:val="24"/>
          <w:szCs w:val="24"/>
        </w:rPr>
        <w:t>(2). https://doi.org/10.31000/jkip.v5i2.10073</w:t>
      </w:r>
    </w:p>
    <w:p w14:paraId="5AD9D9C1" w14:textId="77777777" w:rsidR="002C0006" w:rsidRPr="002C0006" w:rsidRDefault="002C0006" w:rsidP="002C0006">
      <w:pPr>
        <w:widowControl w:val="0"/>
        <w:autoSpaceDE w:val="0"/>
        <w:autoSpaceDN w:val="0"/>
        <w:adjustRightInd w:val="0"/>
        <w:ind w:left="567" w:hanging="567"/>
        <w:jc w:val="both"/>
        <w:rPr>
          <w:rFonts w:ascii="Times New Roman" w:hAnsi="Times New Roman"/>
          <w:sz w:val="24"/>
          <w:szCs w:val="24"/>
        </w:rPr>
      </w:pPr>
      <w:r w:rsidRPr="002C0006">
        <w:rPr>
          <w:rFonts w:ascii="Times New Roman" w:hAnsi="Times New Roman"/>
          <w:sz w:val="24"/>
          <w:szCs w:val="24"/>
        </w:rPr>
        <w:t xml:space="preserve">Masluhah, M., &amp; Afifah, K. R. (2022). Electronic Portofolio Sebagai Instrumen Penilaian Pembelajaran Siswa di Era Digital. </w:t>
      </w:r>
      <w:r w:rsidRPr="002C0006">
        <w:rPr>
          <w:rFonts w:ascii="Times New Roman" w:hAnsi="Times New Roman"/>
          <w:i/>
          <w:iCs/>
          <w:sz w:val="24"/>
          <w:szCs w:val="24"/>
        </w:rPr>
        <w:t>Jurnal Basicedu</w:t>
      </w:r>
      <w:r w:rsidRPr="002C0006">
        <w:rPr>
          <w:rFonts w:ascii="Times New Roman" w:hAnsi="Times New Roman"/>
          <w:sz w:val="24"/>
          <w:szCs w:val="24"/>
        </w:rPr>
        <w:t xml:space="preserve">, </w:t>
      </w:r>
      <w:r w:rsidRPr="002C0006">
        <w:rPr>
          <w:rFonts w:ascii="Times New Roman" w:hAnsi="Times New Roman"/>
          <w:i/>
          <w:iCs/>
          <w:sz w:val="24"/>
          <w:szCs w:val="24"/>
        </w:rPr>
        <w:t>6</w:t>
      </w:r>
      <w:r w:rsidRPr="002C0006">
        <w:rPr>
          <w:rFonts w:ascii="Times New Roman" w:hAnsi="Times New Roman"/>
          <w:sz w:val="24"/>
          <w:szCs w:val="24"/>
        </w:rPr>
        <w:t>(2), 1883–1896. https://doi.org/10.31004/basicedu.v6i2.2236</w:t>
      </w:r>
    </w:p>
    <w:p w14:paraId="7283A849" w14:textId="77777777" w:rsidR="002C0006" w:rsidRPr="002C0006" w:rsidRDefault="002C0006" w:rsidP="002C0006">
      <w:pPr>
        <w:widowControl w:val="0"/>
        <w:autoSpaceDE w:val="0"/>
        <w:autoSpaceDN w:val="0"/>
        <w:adjustRightInd w:val="0"/>
        <w:ind w:left="567" w:hanging="567"/>
        <w:jc w:val="both"/>
        <w:rPr>
          <w:rFonts w:ascii="Times New Roman" w:hAnsi="Times New Roman"/>
          <w:sz w:val="24"/>
          <w:szCs w:val="24"/>
        </w:rPr>
      </w:pPr>
      <w:r w:rsidRPr="002C0006">
        <w:rPr>
          <w:rFonts w:ascii="Times New Roman" w:hAnsi="Times New Roman"/>
          <w:sz w:val="24"/>
          <w:szCs w:val="24"/>
        </w:rPr>
        <w:t xml:space="preserve">McArthur, J. (2023). Rethinking authentic assessment: work, well-being, and society. </w:t>
      </w:r>
      <w:r w:rsidRPr="002C0006">
        <w:rPr>
          <w:rFonts w:ascii="Times New Roman" w:hAnsi="Times New Roman"/>
          <w:i/>
          <w:iCs/>
          <w:sz w:val="24"/>
          <w:szCs w:val="24"/>
        </w:rPr>
        <w:t>Higher Education</w:t>
      </w:r>
      <w:r w:rsidRPr="002C0006">
        <w:rPr>
          <w:rFonts w:ascii="Times New Roman" w:hAnsi="Times New Roman"/>
          <w:sz w:val="24"/>
          <w:szCs w:val="24"/>
        </w:rPr>
        <w:t xml:space="preserve">, </w:t>
      </w:r>
      <w:r w:rsidRPr="002C0006">
        <w:rPr>
          <w:rFonts w:ascii="Times New Roman" w:hAnsi="Times New Roman"/>
          <w:i/>
          <w:iCs/>
          <w:sz w:val="24"/>
          <w:szCs w:val="24"/>
        </w:rPr>
        <w:t>85</w:t>
      </w:r>
      <w:r w:rsidRPr="002C0006">
        <w:rPr>
          <w:rFonts w:ascii="Times New Roman" w:hAnsi="Times New Roman"/>
          <w:sz w:val="24"/>
          <w:szCs w:val="24"/>
        </w:rPr>
        <w:t>(1), 85–101. https://doi.org/10.1007/s10734-022-00822-y</w:t>
      </w:r>
    </w:p>
    <w:p w14:paraId="3FDBFD4B" w14:textId="77777777" w:rsidR="002C0006" w:rsidRPr="002C0006" w:rsidRDefault="002C0006" w:rsidP="002C0006">
      <w:pPr>
        <w:widowControl w:val="0"/>
        <w:autoSpaceDE w:val="0"/>
        <w:autoSpaceDN w:val="0"/>
        <w:adjustRightInd w:val="0"/>
        <w:ind w:left="567" w:hanging="567"/>
        <w:jc w:val="both"/>
        <w:rPr>
          <w:rFonts w:ascii="Times New Roman" w:hAnsi="Times New Roman"/>
          <w:sz w:val="24"/>
          <w:szCs w:val="24"/>
        </w:rPr>
      </w:pPr>
      <w:r w:rsidRPr="002C0006">
        <w:rPr>
          <w:rFonts w:ascii="Times New Roman" w:hAnsi="Times New Roman"/>
          <w:sz w:val="24"/>
          <w:szCs w:val="24"/>
        </w:rPr>
        <w:t xml:space="preserve">Miles, M. B., Huberman, M. A., &amp; Saldana, J. (2020). </w:t>
      </w:r>
      <w:r w:rsidRPr="002C0006">
        <w:rPr>
          <w:rFonts w:ascii="Times New Roman" w:hAnsi="Times New Roman"/>
          <w:i/>
          <w:iCs/>
          <w:sz w:val="24"/>
          <w:szCs w:val="24"/>
        </w:rPr>
        <w:t>Qualitative data analysis: A methods sourcebook</w:t>
      </w:r>
      <w:r w:rsidRPr="002C0006">
        <w:rPr>
          <w:rFonts w:ascii="Times New Roman" w:hAnsi="Times New Roman"/>
          <w:sz w:val="24"/>
          <w:szCs w:val="24"/>
        </w:rPr>
        <w:t>. SAGE.</w:t>
      </w:r>
    </w:p>
    <w:p w14:paraId="7590FAFD" w14:textId="77777777" w:rsidR="002C0006" w:rsidRPr="002C0006" w:rsidRDefault="002C0006" w:rsidP="002C0006">
      <w:pPr>
        <w:widowControl w:val="0"/>
        <w:autoSpaceDE w:val="0"/>
        <w:autoSpaceDN w:val="0"/>
        <w:adjustRightInd w:val="0"/>
        <w:ind w:left="567" w:hanging="567"/>
        <w:jc w:val="both"/>
        <w:rPr>
          <w:rFonts w:ascii="Times New Roman" w:hAnsi="Times New Roman"/>
          <w:sz w:val="24"/>
          <w:szCs w:val="24"/>
        </w:rPr>
      </w:pPr>
      <w:r w:rsidRPr="002C0006">
        <w:rPr>
          <w:rFonts w:ascii="Times New Roman" w:hAnsi="Times New Roman"/>
          <w:sz w:val="24"/>
          <w:szCs w:val="24"/>
        </w:rPr>
        <w:t xml:space="preserve">Pourdana, N., &amp; Tavassoli, K. (2022). Differential impacts of e-portfolio assessment on language learners’ engagement modes and genre-based writing improvement. </w:t>
      </w:r>
      <w:r w:rsidRPr="002C0006">
        <w:rPr>
          <w:rFonts w:ascii="Times New Roman" w:hAnsi="Times New Roman"/>
          <w:i/>
          <w:iCs/>
          <w:sz w:val="24"/>
          <w:szCs w:val="24"/>
        </w:rPr>
        <w:t>Language Testing in Asia</w:t>
      </w:r>
      <w:r w:rsidRPr="002C0006">
        <w:rPr>
          <w:rFonts w:ascii="Times New Roman" w:hAnsi="Times New Roman"/>
          <w:sz w:val="24"/>
          <w:szCs w:val="24"/>
        </w:rPr>
        <w:t xml:space="preserve">, </w:t>
      </w:r>
      <w:r w:rsidRPr="002C0006">
        <w:rPr>
          <w:rFonts w:ascii="Times New Roman" w:hAnsi="Times New Roman"/>
          <w:i/>
          <w:iCs/>
          <w:sz w:val="24"/>
          <w:szCs w:val="24"/>
        </w:rPr>
        <w:t>12</w:t>
      </w:r>
      <w:r w:rsidRPr="002C0006">
        <w:rPr>
          <w:rFonts w:ascii="Times New Roman" w:hAnsi="Times New Roman"/>
          <w:sz w:val="24"/>
          <w:szCs w:val="24"/>
        </w:rPr>
        <w:t>(1), 7. https://doi.org/10.1186/s40468-022-00156-7</w:t>
      </w:r>
    </w:p>
    <w:p w14:paraId="55F9A675" w14:textId="77777777" w:rsidR="002C0006" w:rsidRPr="002C0006" w:rsidRDefault="002C0006" w:rsidP="002C0006">
      <w:pPr>
        <w:widowControl w:val="0"/>
        <w:autoSpaceDE w:val="0"/>
        <w:autoSpaceDN w:val="0"/>
        <w:adjustRightInd w:val="0"/>
        <w:ind w:left="567" w:hanging="567"/>
        <w:jc w:val="both"/>
        <w:rPr>
          <w:rFonts w:ascii="Times New Roman" w:hAnsi="Times New Roman"/>
          <w:sz w:val="24"/>
          <w:szCs w:val="24"/>
        </w:rPr>
      </w:pPr>
      <w:r w:rsidRPr="002C0006">
        <w:rPr>
          <w:rFonts w:ascii="Times New Roman" w:hAnsi="Times New Roman"/>
          <w:sz w:val="24"/>
          <w:szCs w:val="24"/>
        </w:rPr>
        <w:t xml:space="preserve">Rosidah, A., Nurhayati, D., Setiawan, R., Rodiah, R., &amp; Mawarni, E. (2026). Implementasi Asesmen Autentik Berbasis Kompetensi dalam Pembelajaran MIPA pada Kurikulum Merdeka. </w:t>
      </w:r>
      <w:r w:rsidRPr="002C0006">
        <w:rPr>
          <w:rFonts w:ascii="Times New Roman" w:hAnsi="Times New Roman"/>
          <w:i/>
          <w:iCs/>
          <w:sz w:val="24"/>
          <w:szCs w:val="24"/>
        </w:rPr>
        <w:t xml:space="preserve">Wilangan: Jurnal Inovasi Dan Riset </w:t>
      </w:r>
      <w:r w:rsidRPr="002C0006">
        <w:rPr>
          <w:rFonts w:ascii="Times New Roman" w:hAnsi="Times New Roman"/>
          <w:i/>
          <w:iCs/>
          <w:sz w:val="24"/>
          <w:szCs w:val="24"/>
        </w:rPr>
        <w:lastRenderedPageBreak/>
        <w:t>Pendidikan Matematika</w:t>
      </w:r>
      <w:r w:rsidRPr="002C0006">
        <w:rPr>
          <w:rFonts w:ascii="Times New Roman" w:hAnsi="Times New Roman"/>
          <w:sz w:val="24"/>
          <w:szCs w:val="24"/>
        </w:rPr>
        <w:t xml:space="preserve">, </w:t>
      </w:r>
      <w:r w:rsidRPr="002C0006">
        <w:rPr>
          <w:rFonts w:ascii="Times New Roman" w:hAnsi="Times New Roman"/>
          <w:i/>
          <w:iCs/>
          <w:sz w:val="24"/>
          <w:szCs w:val="24"/>
        </w:rPr>
        <w:t>7</w:t>
      </w:r>
      <w:r w:rsidRPr="002C0006">
        <w:rPr>
          <w:rFonts w:ascii="Times New Roman" w:hAnsi="Times New Roman"/>
          <w:sz w:val="24"/>
          <w:szCs w:val="24"/>
        </w:rPr>
        <w:t>(1), 8–23. https://doi.org/10.62870/WJIRPM.V7I1.37444</w:t>
      </w:r>
    </w:p>
    <w:p w14:paraId="6573BBBB" w14:textId="77777777" w:rsidR="002C0006" w:rsidRPr="002C0006" w:rsidRDefault="002C0006" w:rsidP="002C0006">
      <w:pPr>
        <w:widowControl w:val="0"/>
        <w:autoSpaceDE w:val="0"/>
        <w:autoSpaceDN w:val="0"/>
        <w:adjustRightInd w:val="0"/>
        <w:ind w:left="567" w:hanging="567"/>
        <w:jc w:val="both"/>
        <w:rPr>
          <w:rFonts w:ascii="Times New Roman" w:hAnsi="Times New Roman"/>
          <w:sz w:val="24"/>
          <w:szCs w:val="24"/>
        </w:rPr>
      </w:pPr>
      <w:r w:rsidRPr="002C0006">
        <w:rPr>
          <w:rFonts w:ascii="Times New Roman" w:hAnsi="Times New Roman"/>
          <w:sz w:val="24"/>
          <w:szCs w:val="24"/>
        </w:rPr>
        <w:t xml:space="preserve">van Laar, E., van Deursen, A. J. A. M., van Dijk, J. A. G. M., &amp; de Haan, J. (2020). Determinants of 21st-Century Skills and 21st-Century Digital Skills for Workers: A Systematic Literature Review. </w:t>
      </w:r>
      <w:r w:rsidRPr="002C0006">
        <w:rPr>
          <w:rFonts w:ascii="Times New Roman" w:hAnsi="Times New Roman"/>
          <w:i/>
          <w:iCs/>
          <w:sz w:val="24"/>
          <w:szCs w:val="24"/>
        </w:rPr>
        <w:t>Sage Open</w:t>
      </w:r>
      <w:r w:rsidRPr="002C0006">
        <w:rPr>
          <w:rFonts w:ascii="Times New Roman" w:hAnsi="Times New Roman"/>
          <w:sz w:val="24"/>
          <w:szCs w:val="24"/>
        </w:rPr>
        <w:t xml:space="preserve">, </w:t>
      </w:r>
      <w:r w:rsidRPr="002C0006">
        <w:rPr>
          <w:rFonts w:ascii="Times New Roman" w:hAnsi="Times New Roman"/>
          <w:i/>
          <w:iCs/>
          <w:sz w:val="24"/>
          <w:szCs w:val="24"/>
        </w:rPr>
        <w:t>10</w:t>
      </w:r>
      <w:r w:rsidRPr="002C0006">
        <w:rPr>
          <w:rFonts w:ascii="Times New Roman" w:hAnsi="Times New Roman"/>
          <w:sz w:val="24"/>
          <w:szCs w:val="24"/>
        </w:rPr>
        <w:t>(1). https://doi.org/10.1177/2158244019900176</w:t>
      </w:r>
    </w:p>
    <w:p w14:paraId="23F5DDFC" w14:textId="77777777" w:rsidR="002C0006" w:rsidRPr="002C0006" w:rsidRDefault="002C0006" w:rsidP="002C0006">
      <w:pPr>
        <w:widowControl w:val="0"/>
        <w:autoSpaceDE w:val="0"/>
        <w:autoSpaceDN w:val="0"/>
        <w:adjustRightInd w:val="0"/>
        <w:ind w:left="567" w:hanging="567"/>
        <w:jc w:val="both"/>
        <w:rPr>
          <w:rFonts w:ascii="Times New Roman" w:hAnsi="Times New Roman"/>
          <w:sz w:val="24"/>
          <w:szCs w:val="24"/>
        </w:rPr>
      </w:pPr>
      <w:r w:rsidRPr="002C0006">
        <w:rPr>
          <w:rFonts w:ascii="Times New Roman" w:hAnsi="Times New Roman"/>
          <w:sz w:val="24"/>
          <w:szCs w:val="24"/>
        </w:rPr>
        <w:t xml:space="preserve">Vlachopoulos, D., &amp; Makri, A. (2024). A systematic literature review on authentic assessment in higher education: Best practices for the development of 21st century skills, and policy considerations. </w:t>
      </w:r>
      <w:r w:rsidRPr="002C0006">
        <w:rPr>
          <w:rFonts w:ascii="Times New Roman" w:hAnsi="Times New Roman"/>
          <w:i/>
          <w:iCs/>
          <w:sz w:val="24"/>
          <w:szCs w:val="24"/>
        </w:rPr>
        <w:t>Studies in Educational Evaluation</w:t>
      </w:r>
      <w:r w:rsidRPr="002C0006">
        <w:rPr>
          <w:rFonts w:ascii="Times New Roman" w:hAnsi="Times New Roman"/>
          <w:sz w:val="24"/>
          <w:szCs w:val="24"/>
        </w:rPr>
        <w:t xml:space="preserve">, </w:t>
      </w:r>
      <w:r w:rsidRPr="002C0006">
        <w:rPr>
          <w:rFonts w:ascii="Times New Roman" w:hAnsi="Times New Roman"/>
          <w:i/>
          <w:iCs/>
          <w:sz w:val="24"/>
          <w:szCs w:val="24"/>
        </w:rPr>
        <w:t>83</w:t>
      </w:r>
      <w:r w:rsidRPr="002C0006">
        <w:rPr>
          <w:rFonts w:ascii="Times New Roman" w:hAnsi="Times New Roman"/>
          <w:sz w:val="24"/>
          <w:szCs w:val="24"/>
        </w:rPr>
        <w:t>, 101425. https://doi.org/10.1016/j.stueduc.2024.101425</w:t>
      </w:r>
    </w:p>
    <w:p w14:paraId="2A51D95A" w14:textId="77777777" w:rsidR="002C0006" w:rsidRPr="002C0006" w:rsidRDefault="002C0006" w:rsidP="002C0006">
      <w:pPr>
        <w:widowControl w:val="0"/>
        <w:autoSpaceDE w:val="0"/>
        <w:autoSpaceDN w:val="0"/>
        <w:adjustRightInd w:val="0"/>
        <w:ind w:left="567" w:hanging="567"/>
        <w:jc w:val="both"/>
        <w:rPr>
          <w:rFonts w:ascii="Times New Roman" w:hAnsi="Times New Roman"/>
          <w:sz w:val="24"/>
          <w:szCs w:val="24"/>
        </w:rPr>
      </w:pPr>
      <w:r w:rsidRPr="002C0006">
        <w:rPr>
          <w:rFonts w:ascii="Times New Roman" w:hAnsi="Times New Roman"/>
          <w:sz w:val="24"/>
          <w:szCs w:val="24"/>
        </w:rPr>
        <w:t xml:space="preserve">Zaabalawi, R. S., &amp; Zaabalawi, J. (2024). Portfolios versus exams: a study to gauge the better student assessment tool. </w:t>
      </w:r>
      <w:r w:rsidRPr="002C0006">
        <w:rPr>
          <w:rFonts w:ascii="Times New Roman" w:hAnsi="Times New Roman"/>
          <w:i/>
          <w:iCs/>
          <w:sz w:val="24"/>
          <w:szCs w:val="24"/>
        </w:rPr>
        <w:t>Language Testing in Asia</w:t>
      </w:r>
      <w:r w:rsidRPr="002C0006">
        <w:rPr>
          <w:rFonts w:ascii="Times New Roman" w:hAnsi="Times New Roman"/>
          <w:sz w:val="24"/>
          <w:szCs w:val="24"/>
        </w:rPr>
        <w:t xml:space="preserve">, </w:t>
      </w:r>
      <w:r w:rsidRPr="002C0006">
        <w:rPr>
          <w:rFonts w:ascii="Times New Roman" w:hAnsi="Times New Roman"/>
          <w:i/>
          <w:iCs/>
          <w:sz w:val="24"/>
          <w:szCs w:val="24"/>
        </w:rPr>
        <w:t>14</w:t>
      </w:r>
      <w:r w:rsidRPr="002C0006">
        <w:rPr>
          <w:rFonts w:ascii="Times New Roman" w:hAnsi="Times New Roman"/>
          <w:sz w:val="24"/>
          <w:szCs w:val="24"/>
        </w:rPr>
        <w:t>(1), 28. https://doi.org/10.1186/s40468-024-00296-y</w:t>
      </w:r>
    </w:p>
    <w:p w14:paraId="210C0C24" w14:textId="77777777" w:rsidR="002C0006" w:rsidRPr="002C0006" w:rsidRDefault="002C0006" w:rsidP="002C0006">
      <w:pPr>
        <w:widowControl w:val="0"/>
        <w:autoSpaceDE w:val="0"/>
        <w:autoSpaceDN w:val="0"/>
        <w:adjustRightInd w:val="0"/>
        <w:ind w:left="567" w:hanging="567"/>
        <w:jc w:val="both"/>
        <w:rPr>
          <w:rFonts w:ascii="Times New Roman" w:hAnsi="Times New Roman"/>
          <w:sz w:val="24"/>
          <w:szCs w:val="24"/>
        </w:rPr>
      </w:pPr>
      <w:r w:rsidRPr="002C0006">
        <w:rPr>
          <w:rFonts w:ascii="Times New Roman" w:hAnsi="Times New Roman"/>
          <w:sz w:val="24"/>
          <w:szCs w:val="24"/>
        </w:rPr>
        <w:t xml:space="preserve">Zainuri, B. N. S., Gunawan, G., &amp; Qothrunnada, Q. (2025). Authentic Assessment Practices In Digital Science Classrooms: A Review of Strategies and Barriers. </w:t>
      </w:r>
      <w:r w:rsidRPr="002C0006">
        <w:rPr>
          <w:rFonts w:ascii="Times New Roman" w:hAnsi="Times New Roman"/>
          <w:i/>
          <w:iCs/>
          <w:sz w:val="24"/>
          <w:szCs w:val="24"/>
        </w:rPr>
        <w:t>Indonesian Journal of Applied Science and Technology</w:t>
      </w:r>
      <w:r w:rsidRPr="002C0006">
        <w:rPr>
          <w:rFonts w:ascii="Times New Roman" w:hAnsi="Times New Roman"/>
          <w:sz w:val="24"/>
          <w:szCs w:val="24"/>
        </w:rPr>
        <w:t xml:space="preserve">, </w:t>
      </w:r>
      <w:r w:rsidRPr="002C0006">
        <w:rPr>
          <w:rFonts w:ascii="Times New Roman" w:hAnsi="Times New Roman"/>
          <w:i/>
          <w:iCs/>
          <w:sz w:val="24"/>
          <w:szCs w:val="24"/>
        </w:rPr>
        <w:t>6</w:t>
      </w:r>
      <w:r w:rsidRPr="002C0006">
        <w:rPr>
          <w:rFonts w:ascii="Times New Roman" w:hAnsi="Times New Roman"/>
          <w:sz w:val="24"/>
          <w:szCs w:val="24"/>
        </w:rPr>
        <w:t>(1), 1–12. https://doi.org/10.67434/ijast.v6i1.1964</w:t>
      </w:r>
    </w:p>
    <w:p w14:paraId="663A8EA0" w14:textId="77777777" w:rsidR="002C0006" w:rsidRPr="002C0006" w:rsidRDefault="002C0006" w:rsidP="002C0006">
      <w:pPr>
        <w:widowControl w:val="0"/>
        <w:autoSpaceDE w:val="0"/>
        <w:autoSpaceDN w:val="0"/>
        <w:adjustRightInd w:val="0"/>
        <w:ind w:left="567" w:hanging="567"/>
        <w:jc w:val="both"/>
        <w:rPr>
          <w:rFonts w:ascii="Times New Roman" w:hAnsi="Times New Roman"/>
          <w:sz w:val="24"/>
        </w:rPr>
      </w:pPr>
      <w:r w:rsidRPr="002C0006">
        <w:rPr>
          <w:rFonts w:ascii="Times New Roman" w:hAnsi="Times New Roman"/>
          <w:sz w:val="24"/>
          <w:szCs w:val="24"/>
        </w:rPr>
        <w:t xml:space="preserve">Zhao, Z., Nimehchisalem, V., &amp; Chan, M. Y. (2024). Independent Writing Tasks vs. Integrated Writing Tasks: The Cognitive Demands and Their Impacts on Linguistic Complexity in EFL Writing. </w:t>
      </w:r>
      <w:r w:rsidRPr="002C0006">
        <w:rPr>
          <w:rFonts w:ascii="Times New Roman" w:hAnsi="Times New Roman"/>
          <w:i/>
          <w:iCs/>
          <w:sz w:val="24"/>
          <w:szCs w:val="24"/>
        </w:rPr>
        <w:t>Theory and Practice in Language Studies</w:t>
      </w:r>
      <w:r w:rsidRPr="002C0006">
        <w:rPr>
          <w:rFonts w:ascii="Times New Roman" w:hAnsi="Times New Roman"/>
          <w:sz w:val="24"/>
          <w:szCs w:val="24"/>
        </w:rPr>
        <w:t xml:space="preserve">, </w:t>
      </w:r>
      <w:r w:rsidRPr="002C0006">
        <w:rPr>
          <w:rFonts w:ascii="Times New Roman" w:hAnsi="Times New Roman"/>
          <w:i/>
          <w:iCs/>
          <w:sz w:val="24"/>
          <w:szCs w:val="24"/>
        </w:rPr>
        <w:t>14</w:t>
      </w:r>
      <w:r w:rsidRPr="002C0006">
        <w:rPr>
          <w:rFonts w:ascii="Times New Roman" w:hAnsi="Times New Roman"/>
          <w:sz w:val="24"/>
          <w:szCs w:val="24"/>
        </w:rPr>
        <w:t>(8), 2606–2617. https://doi.org/10.17507/tpls.1408.33</w:t>
      </w:r>
    </w:p>
    <w:p w14:paraId="0625F252" w14:textId="6570D851" w:rsidR="002C0006" w:rsidRPr="002C0006" w:rsidRDefault="002C0006" w:rsidP="002C0006">
      <w:pPr>
        <w:spacing w:line="276" w:lineRule="auto"/>
        <w:ind w:left="567" w:hanging="567"/>
        <w:jc w:val="both"/>
        <w:rPr>
          <w:rFonts w:ascii="Times New Roman" w:hAnsi="Times New Roman"/>
          <w:bCs/>
          <w:sz w:val="24"/>
          <w:szCs w:val="24"/>
          <w:lang w:val="id-ID"/>
        </w:rPr>
      </w:pPr>
      <w:r>
        <w:rPr>
          <w:rFonts w:ascii="Times New Roman" w:hAnsi="Times New Roman"/>
          <w:bCs/>
          <w:sz w:val="24"/>
          <w:szCs w:val="24"/>
          <w:lang w:val="id-ID"/>
        </w:rPr>
        <w:fldChar w:fldCharType="end"/>
      </w:r>
    </w:p>
    <w:sectPr w:rsidR="002C0006" w:rsidRPr="002C0006" w:rsidSect="00A70075">
      <w:headerReference w:type="default" r:id="rId13"/>
      <w:footerReference w:type="default" r:id="rId14"/>
      <w:pgSz w:w="11906" w:h="16838"/>
      <w:pgMar w:top="1701" w:right="1701" w:bottom="1701" w:left="2268" w:header="708" w:footer="708" w:gutter="0"/>
      <w:pgNumType w:start="68"/>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C38595" w14:textId="77777777" w:rsidR="004A04A1" w:rsidRDefault="004A04A1">
      <w:r>
        <w:separator/>
      </w:r>
    </w:p>
  </w:endnote>
  <w:endnote w:type="continuationSeparator" w:id="0">
    <w:p w14:paraId="6AAF7508" w14:textId="77777777" w:rsidR="004A04A1" w:rsidRDefault="004A04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no Pro">
    <w:altName w:val="Calibri"/>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sto MT">
    <w:panose1 w:val="020406030505050303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noProof w:val="0"/>
      </w:rPr>
      <w:id w:val="1111161149"/>
      <w:docPartObj>
        <w:docPartGallery w:val="Page Numbers (Bottom of Page)"/>
        <w:docPartUnique/>
      </w:docPartObj>
    </w:sdtPr>
    <w:sdtEndPr>
      <w:rPr>
        <w:noProof/>
      </w:rPr>
    </w:sdtEndPr>
    <w:sdtContent>
      <w:p w14:paraId="52E14BEE" w14:textId="15EC3B2A" w:rsidR="006C784C" w:rsidRPr="00D56543" w:rsidRDefault="006C784C" w:rsidP="00D56543">
        <w:pPr>
          <w:pStyle w:val="Footer"/>
          <w:jc w:val="left"/>
          <w:rPr>
            <w:rFonts w:ascii="Times New Roman" w:hAnsi="Times New Roman"/>
            <w:i/>
            <w:iCs/>
          </w:rPr>
        </w:pPr>
        <w:r w:rsidRPr="00D56543">
          <w:rPr>
            <w:rFonts w:ascii="Times New Roman" w:hAnsi="Times New Roman"/>
            <w:i/>
            <w:iCs/>
          </w:rPr>
          <w:t>SUJANA: Journal of Education and Learning Review Vol.</w:t>
        </w:r>
        <w:r w:rsidR="009E3C75">
          <w:rPr>
            <w:rFonts w:ascii="Times New Roman" w:hAnsi="Times New Roman"/>
            <w:i/>
            <w:iCs/>
          </w:rPr>
          <w:t xml:space="preserve"> </w:t>
        </w:r>
        <w:r w:rsidR="00890FB7">
          <w:rPr>
            <w:rFonts w:ascii="Times New Roman" w:hAnsi="Times New Roman"/>
            <w:i/>
            <w:iCs/>
          </w:rPr>
          <w:t>5</w:t>
        </w:r>
        <w:r w:rsidRPr="00D56543">
          <w:rPr>
            <w:rFonts w:ascii="Times New Roman" w:hAnsi="Times New Roman"/>
            <w:i/>
            <w:iCs/>
          </w:rPr>
          <w:t xml:space="preserve">, Issue. </w:t>
        </w:r>
        <w:r w:rsidR="00A70075">
          <w:rPr>
            <w:rFonts w:ascii="Times New Roman" w:hAnsi="Times New Roman"/>
            <w:i/>
            <w:iCs/>
          </w:rPr>
          <w:t>3</w:t>
        </w:r>
        <w:r w:rsidRPr="00D56543">
          <w:rPr>
            <w:rFonts w:ascii="Times New Roman" w:hAnsi="Times New Roman"/>
            <w:i/>
            <w:iCs/>
          </w:rPr>
          <w:t xml:space="preserve"> (202</w:t>
        </w:r>
        <w:r w:rsidR="00890FB7">
          <w:rPr>
            <w:rFonts w:ascii="Times New Roman" w:hAnsi="Times New Roman"/>
            <w:i/>
            <w:iCs/>
          </w:rPr>
          <w:t>6</w:t>
        </w:r>
        <w:r w:rsidRPr="00D56543">
          <w:rPr>
            <w:rFonts w:ascii="Times New Roman" w:hAnsi="Times New Roman"/>
            <w:i/>
            <w:iCs/>
          </w:rPr>
          <w:t>)</w:t>
        </w:r>
      </w:p>
      <w:p w14:paraId="76806DCB" w14:textId="3E3A3B95" w:rsidR="006C784C" w:rsidRPr="00D56543" w:rsidRDefault="006C784C">
        <w:pPr>
          <w:pStyle w:val="Footer"/>
          <w:jc w:val="right"/>
          <w:rPr>
            <w:rFonts w:ascii="Times New Roman" w:hAnsi="Times New Roman"/>
          </w:rPr>
        </w:pPr>
        <w:r w:rsidRPr="00D56543">
          <w:rPr>
            <w:rFonts w:ascii="Times New Roman" w:hAnsi="Times New Roman"/>
            <w:noProof w:val="0"/>
          </w:rPr>
          <w:fldChar w:fldCharType="begin"/>
        </w:r>
        <w:r w:rsidRPr="00D56543">
          <w:rPr>
            <w:rFonts w:ascii="Times New Roman" w:hAnsi="Times New Roman"/>
          </w:rPr>
          <w:instrText xml:space="preserve"> PAGE   \* MERGEFORMAT </w:instrText>
        </w:r>
        <w:r w:rsidRPr="00D56543">
          <w:rPr>
            <w:rFonts w:ascii="Times New Roman" w:hAnsi="Times New Roman"/>
            <w:noProof w:val="0"/>
          </w:rPr>
          <w:fldChar w:fldCharType="separate"/>
        </w:r>
        <w:r w:rsidR="00897B7E">
          <w:rPr>
            <w:rFonts w:ascii="Times New Roman" w:hAnsi="Times New Roman"/>
          </w:rPr>
          <w:t>25</w:t>
        </w:r>
        <w:r w:rsidRPr="00D56543">
          <w:rPr>
            <w:rFonts w:ascii="Times New Roman" w:hAnsi="Times New Roman"/>
          </w:rPr>
          <w:fldChar w:fldCharType="end"/>
        </w:r>
      </w:p>
    </w:sdtContent>
  </w:sdt>
  <w:p w14:paraId="3A63B9DB" w14:textId="2C5C9302" w:rsidR="006C784C" w:rsidRPr="00D56543" w:rsidRDefault="006C784C">
    <w:pPr>
      <w:pStyle w:val="Footer"/>
      <w:jc w:val="right"/>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5F3EF7" w14:textId="77777777" w:rsidR="004A04A1" w:rsidRDefault="004A04A1">
      <w:r>
        <w:separator/>
      </w:r>
    </w:p>
  </w:footnote>
  <w:footnote w:type="continuationSeparator" w:id="0">
    <w:p w14:paraId="7EF1BA51" w14:textId="77777777" w:rsidR="004A04A1" w:rsidRDefault="004A04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1C4085" w14:textId="04370E0E" w:rsidR="006C784C" w:rsidRDefault="006C784C" w:rsidP="00FE24B6">
    <w:pPr>
      <w:pStyle w:val="Header"/>
      <w:jc w:val="left"/>
      <w:rPr>
        <w:rFonts w:ascii="Times New Roman" w:hAnsi="Times New Roman"/>
      </w:rPr>
    </w:pPr>
  </w:p>
  <w:p w14:paraId="7EE40501" w14:textId="4F22E5C8" w:rsidR="006C784C" w:rsidRDefault="006C784C" w:rsidP="00FE24B6">
    <w:pPr>
      <w:pStyle w:val="Header"/>
      <w:jc w:val="left"/>
      <w:rPr>
        <w:rFonts w:ascii="Times New Roman" w:hAnsi="Times New Roman"/>
      </w:rPr>
    </w:pPr>
    <w:r>
      <w:rPr>
        <w:lang w:val="id-ID" w:eastAsia="id-ID"/>
      </w:rPr>
      <w:drawing>
        <wp:anchor distT="0" distB="0" distL="114300" distR="114300" simplePos="0" relativeHeight="251660288" behindDoc="0" locked="0" layoutInCell="1" allowOverlap="1" wp14:anchorId="655BC690" wp14:editId="2D5DA122">
          <wp:simplePos x="0" y="0"/>
          <wp:positionH relativeFrom="margin">
            <wp:align>left</wp:align>
          </wp:positionH>
          <wp:positionV relativeFrom="paragraph">
            <wp:posOffset>12065</wp:posOffset>
          </wp:positionV>
          <wp:extent cx="684530" cy="152400"/>
          <wp:effectExtent l="0" t="0" r="1270" b="0"/>
          <wp:wrapNone/>
          <wp:docPr id="636560624" name="Picture 636560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jf publisherr.png"/>
                  <pic:cNvPicPr/>
                </pic:nvPicPr>
                <pic:blipFill>
                  <a:blip r:embed="rId1">
                    <a:extLst>
                      <a:ext uri="{28A0092B-C50C-407E-A947-70E740481C1C}">
                        <a14:useLocalDpi xmlns:a14="http://schemas.microsoft.com/office/drawing/2010/main" val="0"/>
                      </a:ext>
                    </a:extLst>
                  </a:blip>
                  <a:stretch>
                    <a:fillRect/>
                  </a:stretch>
                </pic:blipFill>
                <pic:spPr>
                  <a:xfrm>
                    <a:off x="0" y="0"/>
                    <a:ext cx="684530" cy="152400"/>
                  </a:xfrm>
                  <a:prstGeom prst="rect">
                    <a:avLst/>
                  </a:prstGeom>
                </pic:spPr>
              </pic:pic>
            </a:graphicData>
          </a:graphic>
        </wp:anchor>
      </w:drawing>
    </w:r>
  </w:p>
  <w:p w14:paraId="0CA0FDA3" w14:textId="4C179BB0" w:rsidR="006C784C" w:rsidRPr="00774576" w:rsidRDefault="002C0006" w:rsidP="00FE24B6">
    <w:pPr>
      <w:pStyle w:val="Header"/>
      <w:jc w:val="right"/>
      <w:rPr>
        <w:rFonts w:ascii="Times New Roman" w:hAnsi="Times New Roman"/>
        <w:i/>
        <w:iCs/>
      </w:rPr>
    </w:pPr>
    <w:r w:rsidRPr="002C0006">
      <w:rPr>
        <w:rFonts w:ascii="Times New Roman" w:hAnsi="Times New Roman"/>
        <w:i/>
        <w:iCs/>
        <w:lang w:val="id-ID"/>
      </w:rPr>
      <w:t xml:space="preserve">Digital Portfolio Assessment in Writing Learning under the </w:t>
    </w:r>
    <w:r w:rsidR="006C784C">
      <w:rPr>
        <w:rFonts w:ascii="Times New Roman" w:hAnsi="Times New Roman"/>
        <w:i/>
        <w:iCs/>
        <w:lang w:val="id-ID"/>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D3139"/>
    <w:multiLevelType w:val="hybridMultilevel"/>
    <w:tmpl w:val="C762AE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6051DE"/>
    <w:multiLevelType w:val="hybridMultilevel"/>
    <w:tmpl w:val="6F50BFCA"/>
    <w:lvl w:ilvl="0" w:tplc="A0E060E4">
      <w:start w:val="1"/>
      <w:numFmt w:val="decimal"/>
      <w:lvlText w:val="%1."/>
      <w:lvlJc w:val="left"/>
      <w:pPr>
        <w:ind w:left="930" w:hanging="57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9EE3038"/>
    <w:multiLevelType w:val="hybridMultilevel"/>
    <w:tmpl w:val="20D84E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B5F8E"/>
    <w:multiLevelType w:val="hybridMultilevel"/>
    <w:tmpl w:val="32CC273C"/>
    <w:lvl w:ilvl="0" w:tplc="5C6ACADE">
      <w:start w:val="1"/>
      <w:numFmt w:val="ordin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E4D5979"/>
    <w:multiLevelType w:val="hybridMultilevel"/>
    <w:tmpl w:val="9A6CA9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3612C5"/>
    <w:multiLevelType w:val="hybridMultilevel"/>
    <w:tmpl w:val="208E2A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652826"/>
    <w:multiLevelType w:val="hybridMultilevel"/>
    <w:tmpl w:val="DF4AC0C6"/>
    <w:lvl w:ilvl="0" w:tplc="F5D2FEB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D278FE"/>
    <w:multiLevelType w:val="hybridMultilevel"/>
    <w:tmpl w:val="094C0D42"/>
    <w:lvl w:ilvl="0" w:tplc="45DC75A0">
      <w:start w:val="2"/>
      <w:numFmt w:val="decimal"/>
      <w:lvlText w:val="%1."/>
      <w:lvlJc w:val="left"/>
      <w:pPr>
        <w:ind w:left="288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CC44F95"/>
    <w:multiLevelType w:val="hybridMultilevel"/>
    <w:tmpl w:val="B88A3682"/>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9" w15:restartNumberingAfterBreak="0">
    <w:nsid w:val="1D656971"/>
    <w:multiLevelType w:val="hybridMultilevel"/>
    <w:tmpl w:val="049E7D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A96763"/>
    <w:multiLevelType w:val="hybridMultilevel"/>
    <w:tmpl w:val="76F62F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9315E0"/>
    <w:multiLevelType w:val="hybridMultilevel"/>
    <w:tmpl w:val="9AC88EDE"/>
    <w:lvl w:ilvl="0" w:tplc="7E98EB46">
      <w:start w:val="1"/>
      <w:numFmt w:val="decimal"/>
      <w:lvlText w:val="%1."/>
      <w:lvlJc w:val="left"/>
      <w:pPr>
        <w:ind w:left="1159" w:hanging="360"/>
      </w:pPr>
      <w:rPr>
        <w:color w:val="auto"/>
      </w:rPr>
    </w:lvl>
    <w:lvl w:ilvl="1" w:tplc="04090019">
      <w:start w:val="1"/>
      <w:numFmt w:val="lowerLetter"/>
      <w:lvlText w:val="%2."/>
      <w:lvlJc w:val="left"/>
      <w:pPr>
        <w:ind w:left="1879" w:hanging="360"/>
      </w:pPr>
    </w:lvl>
    <w:lvl w:ilvl="2" w:tplc="0409001B">
      <w:start w:val="1"/>
      <w:numFmt w:val="lowerRoman"/>
      <w:lvlText w:val="%3."/>
      <w:lvlJc w:val="right"/>
      <w:pPr>
        <w:ind w:left="2599" w:hanging="180"/>
      </w:pPr>
    </w:lvl>
    <w:lvl w:ilvl="3" w:tplc="0409000F">
      <w:start w:val="1"/>
      <w:numFmt w:val="decimal"/>
      <w:lvlText w:val="%4."/>
      <w:lvlJc w:val="left"/>
      <w:pPr>
        <w:ind w:left="3319" w:hanging="360"/>
      </w:pPr>
    </w:lvl>
    <w:lvl w:ilvl="4" w:tplc="04090019">
      <w:start w:val="1"/>
      <w:numFmt w:val="lowerLetter"/>
      <w:lvlText w:val="%5."/>
      <w:lvlJc w:val="left"/>
      <w:pPr>
        <w:ind w:left="4039" w:hanging="360"/>
      </w:pPr>
    </w:lvl>
    <w:lvl w:ilvl="5" w:tplc="0409001B">
      <w:start w:val="1"/>
      <w:numFmt w:val="lowerRoman"/>
      <w:lvlText w:val="%6."/>
      <w:lvlJc w:val="right"/>
      <w:pPr>
        <w:ind w:left="4759" w:hanging="180"/>
      </w:pPr>
    </w:lvl>
    <w:lvl w:ilvl="6" w:tplc="0409000F">
      <w:start w:val="1"/>
      <w:numFmt w:val="decimal"/>
      <w:lvlText w:val="%7."/>
      <w:lvlJc w:val="left"/>
      <w:pPr>
        <w:ind w:left="5479" w:hanging="360"/>
      </w:pPr>
    </w:lvl>
    <w:lvl w:ilvl="7" w:tplc="04090019">
      <w:start w:val="1"/>
      <w:numFmt w:val="lowerLetter"/>
      <w:lvlText w:val="%8."/>
      <w:lvlJc w:val="left"/>
      <w:pPr>
        <w:ind w:left="6199" w:hanging="360"/>
      </w:pPr>
    </w:lvl>
    <w:lvl w:ilvl="8" w:tplc="0409001B">
      <w:start w:val="1"/>
      <w:numFmt w:val="lowerRoman"/>
      <w:lvlText w:val="%9."/>
      <w:lvlJc w:val="right"/>
      <w:pPr>
        <w:ind w:left="6919" w:hanging="180"/>
      </w:pPr>
    </w:lvl>
  </w:abstractNum>
  <w:abstractNum w:abstractNumId="12" w15:restartNumberingAfterBreak="0">
    <w:nsid w:val="24383220"/>
    <w:multiLevelType w:val="hybridMultilevel"/>
    <w:tmpl w:val="349EF1EE"/>
    <w:lvl w:ilvl="0" w:tplc="3809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259618CB"/>
    <w:multiLevelType w:val="hybridMultilevel"/>
    <w:tmpl w:val="7D3E28E8"/>
    <w:lvl w:ilvl="0" w:tplc="4C40A4A8">
      <w:start w:val="1"/>
      <w:numFmt w:val="ordin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25F01081"/>
    <w:multiLevelType w:val="hybridMultilevel"/>
    <w:tmpl w:val="F0D0FC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4A15E0"/>
    <w:multiLevelType w:val="hybridMultilevel"/>
    <w:tmpl w:val="8F96EE3C"/>
    <w:lvl w:ilvl="0" w:tplc="0D4C9AD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2F1A4693"/>
    <w:multiLevelType w:val="hybridMultilevel"/>
    <w:tmpl w:val="616E35C2"/>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2F6D1A38"/>
    <w:multiLevelType w:val="hybridMultilevel"/>
    <w:tmpl w:val="15887F1E"/>
    <w:lvl w:ilvl="0" w:tplc="7E98EB46">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307B0EF5"/>
    <w:multiLevelType w:val="hybridMultilevel"/>
    <w:tmpl w:val="09F43A14"/>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9" w15:restartNumberingAfterBreak="0">
    <w:nsid w:val="32FE712E"/>
    <w:multiLevelType w:val="hybridMultilevel"/>
    <w:tmpl w:val="801673D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36DE27E4"/>
    <w:multiLevelType w:val="hybridMultilevel"/>
    <w:tmpl w:val="FEA23518"/>
    <w:lvl w:ilvl="0" w:tplc="3809000F">
      <w:start w:val="1"/>
      <w:numFmt w:val="decimal"/>
      <w:lvlText w:val="%1."/>
      <w:lvlJc w:val="left"/>
      <w:pPr>
        <w:ind w:left="827" w:hanging="360"/>
      </w:pPr>
    </w:lvl>
    <w:lvl w:ilvl="1" w:tplc="04090019">
      <w:start w:val="1"/>
      <w:numFmt w:val="lowerLetter"/>
      <w:lvlText w:val="%2."/>
      <w:lvlJc w:val="left"/>
      <w:pPr>
        <w:ind w:left="1547" w:hanging="360"/>
      </w:pPr>
    </w:lvl>
    <w:lvl w:ilvl="2" w:tplc="0409001B">
      <w:start w:val="1"/>
      <w:numFmt w:val="lowerRoman"/>
      <w:lvlText w:val="%3."/>
      <w:lvlJc w:val="right"/>
      <w:pPr>
        <w:ind w:left="2267" w:hanging="180"/>
      </w:pPr>
    </w:lvl>
    <w:lvl w:ilvl="3" w:tplc="0409000F">
      <w:start w:val="1"/>
      <w:numFmt w:val="decimal"/>
      <w:lvlText w:val="%4."/>
      <w:lvlJc w:val="left"/>
      <w:pPr>
        <w:ind w:left="2987" w:hanging="360"/>
      </w:pPr>
    </w:lvl>
    <w:lvl w:ilvl="4" w:tplc="04090019">
      <w:start w:val="1"/>
      <w:numFmt w:val="lowerLetter"/>
      <w:lvlText w:val="%5."/>
      <w:lvlJc w:val="left"/>
      <w:pPr>
        <w:ind w:left="3707" w:hanging="360"/>
      </w:pPr>
    </w:lvl>
    <w:lvl w:ilvl="5" w:tplc="0409001B">
      <w:start w:val="1"/>
      <w:numFmt w:val="lowerRoman"/>
      <w:lvlText w:val="%6."/>
      <w:lvlJc w:val="right"/>
      <w:pPr>
        <w:ind w:left="4427" w:hanging="180"/>
      </w:pPr>
    </w:lvl>
    <w:lvl w:ilvl="6" w:tplc="0409000F">
      <w:start w:val="1"/>
      <w:numFmt w:val="decimal"/>
      <w:lvlText w:val="%7."/>
      <w:lvlJc w:val="left"/>
      <w:pPr>
        <w:ind w:left="5147" w:hanging="360"/>
      </w:pPr>
    </w:lvl>
    <w:lvl w:ilvl="7" w:tplc="04090019">
      <w:start w:val="1"/>
      <w:numFmt w:val="lowerLetter"/>
      <w:lvlText w:val="%8."/>
      <w:lvlJc w:val="left"/>
      <w:pPr>
        <w:ind w:left="5867" w:hanging="360"/>
      </w:pPr>
    </w:lvl>
    <w:lvl w:ilvl="8" w:tplc="0409001B">
      <w:start w:val="1"/>
      <w:numFmt w:val="lowerRoman"/>
      <w:lvlText w:val="%9."/>
      <w:lvlJc w:val="right"/>
      <w:pPr>
        <w:ind w:left="6587" w:hanging="180"/>
      </w:pPr>
    </w:lvl>
  </w:abstractNum>
  <w:abstractNum w:abstractNumId="21" w15:restartNumberingAfterBreak="0">
    <w:nsid w:val="379E5753"/>
    <w:multiLevelType w:val="hybridMultilevel"/>
    <w:tmpl w:val="87B0E73C"/>
    <w:lvl w:ilvl="0" w:tplc="3809000F">
      <w:start w:val="1"/>
      <w:numFmt w:val="decimal"/>
      <w:lvlText w:val="%1."/>
      <w:lvlJc w:val="left"/>
      <w:pPr>
        <w:ind w:left="785" w:hanging="360"/>
      </w:pPr>
    </w:lvl>
    <w:lvl w:ilvl="1" w:tplc="04090019">
      <w:start w:val="1"/>
      <w:numFmt w:val="lowerLetter"/>
      <w:lvlText w:val="%2."/>
      <w:lvlJc w:val="left"/>
      <w:pPr>
        <w:ind w:left="1505" w:hanging="360"/>
      </w:pPr>
    </w:lvl>
    <w:lvl w:ilvl="2" w:tplc="0409001B">
      <w:start w:val="1"/>
      <w:numFmt w:val="lowerRoman"/>
      <w:lvlText w:val="%3."/>
      <w:lvlJc w:val="right"/>
      <w:pPr>
        <w:ind w:left="2225" w:hanging="180"/>
      </w:pPr>
    </w:lvl>
    <w:lvl w:ilvl="3" w:tplc="0409000F">
      <w:start w:val="1"/>
      <w:numFmt w:val="decimal"/>
      <w:lvlText w:val="%4."/>
      <w:lvlJc w:val="left"/>
      <w:pPr>
        <w:ind w:left="2945" w:hanging="360"/>
      </w:pPr>
    </w:lvl>
    <w:lvl w:ilvl="4" w:tplc="04090019">
      <w:start w:val="1"/>
      <w:numFmt w:val="lowerLetter"/>
      <w:lvlText w:val="%5."/>
      <w:lvlJc w:val="left"/>
      <w:pPr>
        <w:ind w:left="3665" w:hanging="360"/>
      </w:pPr>
    </w:lvl>
    <w:lvl w:ilvl="5" w:tplc="0409001B">
      <w:start w:val="1"/>
      <w:numFmt w:val="lowerRoman"/>
      <w:lvlText w:val="%6."/>
      <w:lvlJc w:val="right"/>
      <w:pPr>
        <w:ind w:left="4385" w:hanging="180"/>
      </w:pPr>
    </w:lvl>
    <w:lvl w:ilvl="6" w:tplc="0409000F">
      <w:start w:val="1"/>
      <w:numFmt w:val="decimal"/>
      <w:lvlText w:val="%7."/>
      <w:lvlJc w:val="left"/>
      <w:pPr>
        <w:ind w:left="5105" w:hanging="360"/>
      </w:pPr>
    </w:lvl>
    <w:lvl w:ilvl="7" w:tplc="04090019">
      <w:start w:val="1"/>
      <w:numFmt w:val="lowerLetter"/>
      <w:lvlText w:val="%8."/>
      <w:lvlJc w:val="left"/>
      <w:pPr>
        <w:ind w:left="5825" w:hanging="360"/>
      </w:pPr>
    </w:lvl>
    <w:lvl w:ilvl="8" w:tplc="0409001B">
      <w:start w:val="1"/>
      <w:numFmt w:val="lowerRoman"/>
      <w:lvlText w:val="%9."/>
      <w:lvlJc w:val="right"/>
      <w:pPr>
        <w:ind w:left="6545" w:hanging="180"/>
      </w:pPr>
    </w:lvl>
  </w:abstractNum>
  <w:abstractNum w:abstractNumId="22" w15:restartNumberingAfterBreak="0">
    <w:nsid w:val="39EF3E10"/>
    <w:multiLevelType w:val="hybridMultilevel"/>
    <w:tmpl w:val="412493CA"/>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3" w15:restartNumberingAfterBreak="0">
    <w:nsid w:val="3B310AED"/>
    <w:multiLevelType w:val="hybridMultilevel"/>
    <w:tmpl w:val="42C29436"/>
    <w:lvl w:ilvl="0" w:tplc="0D4C9AD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3D7208B8"/>
    <w:multiLevelType w:val="hybridMultilevel"/>
    <w:tmpl w:val="425AC2FC"/>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3DDD7E27"/>
    <w:multiLevelType w:val="hybridMultilevel"/>
    <w:tmpl w:val="42C29436"/>
    <w:lvl w:ilvl="0" w:tplc="0D4C9AD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411A529D"/>
    <w:multiLevelType w:val="hybridMultilevel"/>
    <w:tmpl w:val="10F257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2D80AFA"/>
    <w:multiLevelType w:val="multilevel"/>
    <w:tmpl w:val="A168841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70B3BD1"/>
    <w:multiLevelType w:val="hybridMultilevel"/>
    <w:tmpl w:val="0AB4FC08"/>
    <w:lvl w:ilvl="0" w:tplc="C58896A4">
      <w:start w:val="1"/>
      <w:numFmt w:val="decimal"/>
      <w:lvlText w:val="%1."/>
      <w:lvlJc w:val="left"/>
      <w:pPr>
        <w:ind w:left="1137" w:hanging="57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4EF66ADD"/>
    <w:multiLevelType w:val="hybridMultilevel"/>
    <w:tmpl w:val="C8CA6236"/>
    <w:lvl w:ilvl="0" w:tplc="8886F5D4">
      <w:start w:val="1"/>
      <w:numFmt w:val="decimal"/>
      <w:lvlText w:val="%1."/>
      <w:lvlJc w:val="left"/>
      <w:pPr>
        <w:ind w:left="1287" w:hanging="360"/>
      </w:pPr>
    </w:lvl>
    <w:lvl w:ilvl="1" w:tplc="7F3A3DB2" w:tentative="1">
      <w:start w:val="1"/>
      <w:numFmt w:val="lowerLetter"/>
      <w:lvlText w:val="%2."/>
      <w:lvlJc w:val="left"/>
      <w:pPr>
        <w:ind w:left="2007" w:hanging="360"/>
      </w:pPr>
    </w:lvl>
    <w:lvl w:ilvl="2" w:tplc="52CCE4BC" w:tentative="1">
      <w:start w:val="1"/>
      <w:numFmt w:val="lowerRoman"/>
      <w:lvlText w:val="%3."/>
      <w:lvlJc w:val="right"/>
      <w:pPr>
        <w:ind w:left="2727" w:hanging="180"/>
      </w:pPr>
    </w:lvl>
    <w:lvl w:ilvl="3" w:tplc="B3984624" w:tentative="1">
      <w:start w:val="1"/>
      <w:numFmt w:val="decimal"/>
      <w:lvlText w:val="%4."/>
      <w:lvlJc w:val="left"/>
      <w:pPr>
        <w:ind w:left="3447" w:hanging="360"/>
      </w:pPr>
    </w:lvl>
    <w:lvl w:ilvl="4" w:tplc="2A569D0A" w:tentative="1">
      <w:start w:val="1"/>
      <w:numFmt w:val="lowerLetter"/>
      <w:lvlText w:val="%5."/>
      <w:lvlJc w:val="left"/>
      <w:pPr>
        <w:ind w:left="4167" w:hanging="360"/>
      </w:pPr>
    </w:lvl>
    <w:lvl w:ilvl="5" w:tplc="15DE6916" w:tentative="1">
      <w:start w:val="1"/>
      <w:numFmt w:val="lowerRoman"/>
      <w:lvlText w:val="%6."/>
      <w:lvlJc w:val="right"/>
      <w:pPr>
        <w:ind w:left="4887" w:hanging="180"/>
      </w:pPr>
    </w:lvl>
    <w:lvl w:ilvl="6" w:tplc="DE808FFC" w:tentative="1">
      <w:start w:val="1"/>
      <w:numFmt w:val="decimal"/>
      <w:lvlText w:val="%7."/>
      <w:lvlJc w:val="left"/>
      <w:pPr>
        <w:ind w:left="5607" w:hanging="360"/>
      </w:pPr>
    </w:lvl>
    <w:lvl w:ilvl="7" w:tplc="5E125330" w:tentative="1">
      <w:start w:val="1"/>
      <w:numFmt w:val="lowerLetter"/>
      <w:lvlText w:val="%8."/>
      <w:lvlJc w:val="left"/>
      <w:pPr>
        <w:ind w:left="6327" w:hanging="360"/>
      </w:pPr>
    </w:lvl>
    <w:lvl w:ilvl="8" w:tplc="F3DCDAB8" w:tentative="1">
      <w:start w:val="1"/>
      <w:numFmt w:val="lowerRoman"/>
      <w:lvlText w:val="%9."/>
      <w:lvlJc w:val="right"/>
      <w:pPr>
        <w:ind w:left="7047" w:hanging="180"/>
      </w:pPr>
    </w:lvl>
  </w:abstractNum>
  <w:abstractNum w:abstractNumId="30" w15:restartNumberingAfterBreak="0">
    <w:nsid w:val="526125EE"/>
    <w:multiLevelType w:val="hybridMultilevel"/>
    <w:tmpl w:val="B85C4944"/>
    <w:lvl w:ilvl="0" w:tplc="5CB28286">
      <w:start w:val="8"/>
      <w:numFmt w:val="decimal"/>
      <w:lvlText w:val="%1."/>
      <w:lvlJc w:val="left"/>
      <w:pPr>
        <w:ind w:left="1159"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54D953EE"/>
    <w:multiLevelType w:val="hybridMultilevel"/>
    <w:tmpl w:val="7818B2C4"/>
    <w:lvl w:ilvl="0" w:tplc="31C22D9A">
      <w:start w:val="1"/>
      <w:numFmt w:val="decimal"/>
      <w:lvlText w:val="%1."/>
      <w:lvlJc w:val="left"/>
      <w:pPr>
        <w:ind w:left="1137" w:hanging="570"/>
      </w:pPr>
      <w:rPr>
        <w:rFonts w:hint="default"/>
      </w:rPr>
    </w:lvl>
    <w:lvl w:ilvl="1" w:tplc="E4EA9396" w:tentative="1">
      <w:start w:val="1"/>
      <w:numFmt w:val="lowerLetter"/>
      <w:lvlText w:val="%2."/>
      <w:lvlJc w:val="left"/>
      <w:pPr>
        <w:ind w:left="1647" w:hanging="360"/>
      </w:pPr>
    </w:lvl>
    <w:lvl w:ilvl="2" w:tplc="6714E39C" w:tentative="1">
      <w:start w:val="1"/>
      <w:numFmt w:val="lowerRoman"/>
      <w:lvlText w:val="%3."/>
      <w:lvlJc w:val="right"/>
      <w:pPr>
        <w:ind w:left="2367" w:hanging="180"/>
      </w:pPr>
    </w:lvl>
    <w:lvl w:ilvl="3" w:tplc="7354D1E0" w:tentative="1">
      <w:start w:val="1"/>
      <w:numFmt w:val="decimal"/>
      <w:lvlText w:val="%4."/>
      <w:lvlJc w:val="left"/>
      <w:pPr>
        <w:ind w:left="3087" w:hanging="360"/>
      </w:pPr>
    </w:lvl>
    <w:lvl w:ilvl="4" w:tplc="14544A26" w:tentative="1">
      <w:start w:val="1"/>
      <w:numFmt w:val="lowerLetter"/>
      <w:lvlText w:val="%5."/>
      <w:lvlJc w:val="left"/>
      <w:pPr>
        <w:ind w:left="3807" w:hanging="360"/>
      </w:pPr>
    </w:lvl>
    <w:lvl w:ilvl="5" w:tplc="ECF8702A" w:tentative="1">
      <w:start w:val="1"/>
      <w:numFmt w:val="lowerRoman"/>
      <w:lvlText w:val="%6."/>
      <w:lvlJc w:val="right"/>
      <w:pPr>
        <w:ind w:left="4527" w:hanging="180"/>
      </w:pPr>
    </w:lvl>
    <w:lvl w:ilvl="6" w:tplc="5E009E2A" w:tentative="1">
      <w:start w:val="1"/>
      <w:numFmt w:val="decimal"/>
      <w:lvlText w:val="%7."/>
      <w:lvlJc w:val="left"/>
      <w:pPr>
        <w:ind w:left="5247" w:hanging="360"/>
      </w:pPr>
    </w:lvl>
    <w:lvl w:ilvl="7" w:tplc="5D74C61A" w:tentative="1">
      <w:start w:val="1"/>
      <w:numFmt w:val="lowerLetter"/>
      <w:lvlText w:val="%8."/>
      <w:lvlJc w:val="left"/>
      <w:pPr>
        <w:ind w:left="5967" w:hanging="360"/>
      </w:pPr>
    </w:lvl>
    <w:lvl w:ilvl="8" w:tplc="8BDC099C" w:tentative="1">
      <w:start w:val="1"/>
      <w:numFmt w:val="lowerRoman"/>
      <w:lvlText w:val="%9."/>
      <w:lvlJc w:val="right"/>
      <w:pPr>
        <w:ind w:left="6687" w:hanging="180"/>
      </w:pPr>
    </w:lvl>
  </w:abstractNum>
  <w:abstractNum w:abstractNumId="32" w15:restartNumberingAfterBreak="0">
    <w:nsid w:val="57510248"/>
    <w:multiLevelType w:val="hybridMultilevel"/>
    <w:tmpl w:val="FD100D5A"/>
    <w:lvl w:ilvl="0" w:tplc="3809000F">
      <w:start w:val="1"/>
      <w:numFmt w:val="decimal"/>
      <w:lvlText w:val="%1."/>
      <w:lvlJc w:val="left"/>
      <w:pPr>
        <w:ind w:left="827" w:hanging="360"/>
      </w:pPr>
    </w:lvl>
    <w:lvl w:ilvl="1" w:tplc="FFFFFFFF">
      <w:start w:val="1"/>
      <w:numFmt w:val="lowerLetter"/>
      <w:lvlText w:val="%2."/>
      <w:lvlJc w:val="left"/>
      <w:pPr>
        <w:ind w:left="1547" w:hanging="360"/>
      </w:pPr>
    </w:lvl>
    <w:lvl w:ilvl="2" w:tplc="FFFFFFFF">
      <w:start w:val="1"/>
      <w:numFmt w:val="lowerRoman"/>
      <w:lvlText w:val="%3."/>
      <w:lvlJc w:val="right"/>
      <w:pPr>
        <w:ind w:left="2267" w:hanging="180"/>
      </w:pPr>
    </w:lvl>
    <w:lvl w:ilvl="3" w:tplc="FFFFFFFF">
      <w:start w:val="1"/>
      <w:numFmt w:val="decimal"/>
      <w:lvlText w:val="%4."/>
      <w:lvlJc w:val="left"/>
      <w:pPr>
        <w:ind w:left="2987" w:hanging="360"/>
      </w:pPr>
    </w:lvl>
    <w:lvl w:ilvl="4" w:tplc="FFFFFFFF">
      <w:start w:val="1"/>
      <w:numFmt w:val="lowerLetter"/>
      <w:lvlText w:val="%5."/>
      <w:lvlJc w:val="left"/>
      <w:pPr>
        <w:ind w:left="3707" w:hanging="360"/>
      </w:pPr>
    </w:lvl>
    <w:lvl w:ilvl="5" w:tplc="FFFFFFFF">
      <w:start w:val="1"/>
      <w:numFmt w:val="lowerRoman"/>
      <w:lvlText w:val="%6."/>
      <w:lvlJc w:val="right"/>
      <w:pPr>
        <w:ind w:left="4427" w:hanging="180"/>
      </w:pPr>
    </w:lvl>
    <w:lvl w:ilvl="6" w:tplc="FFFFFFFF">
      <w:start w:val="1"/>
      <w:numFmt w:val="decimal"/>
      <w:lvlText w:val="%7."/>
      <w:lvlJc w:val="left"/>
      <w:pPr>
        <w:ind w:left="5147" w:hanging="360"/>
      </w:pPr>
    </w:lvl>
    <w:lvl w:ilvl="7" w:tplc="FFFFFFFF">
      <w:start w:val="1"/>
      <w:numFmt w:val="lowerLetter"/>
      <w:lvlText w:val="%8."/>
      <w:lvlJc w:val="left"/>
      <w:pPr>
        <w:ind w:left="5867" w:hanging="360"/>
      </w:pPr>
    </w:lvl>
    <w:lvl w:ilvl="8" w:tplc="FFFFFFFF">
      <w:start w:val="1"/>
      <w:numFmt w:val="lowerRoman"/>
      <w:lvlText w:val="%9."/>
      <w:lvlJc w:val="right"/>
      <w:pPr>
        <w:ind w:left="6587" w:hanging="180"/>
      </w:pPr>
    </w:lvl>
  </w:abstractNum>
  <w:abstractNum w:abstractNumId="33" w15:restartNumberingAfterBreak="0">
    <w:nsid w:val="58C073A1"/>
    <w:multiLevelType w:val="hybridMultilevel"/>
    <w:tmpl w:val="5A3ACC8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5B633E3A"/>
    <w:multiLevelType w:val="hybridMultilevel"/>
    <w:tmpl w:val="FFB68712"/>
    <w:lvl w:ilvl="0" w:tplc="3809000F">
      <w:start w:val="1"/>
      <w:numFmt w:val="decimal"/>
      <w:lvlText w:val="%1."/>
      <w:lvlJc w:val="left"/>
      <w:pPr>
        <w:ind w:left="919" w:hanging="360"/>
      </w:pPr>
    </w:lvl>
    <w:lvl w:ilvl="1" w:tplc="04090019">
      <w:start w:val="1"/>
      <w:numFmt w:val="lowerLetter"/>
      <w:lvlText w:val="%2."/>
      <w:lvlJc w:val="left"/>
      <w:pPr>
        <w:ind w:left="1639" w:hanging="360"/>
      </w:pPr>
    </w:lvl>
    <w:lvl w:ilvl="2" w:tplc="0409001B">
      <w:start w:val="1"/>
      <w:numFmt w:val="lowerRoman"/>
      <w:lvlText w:val="%3."/>
      <w:lvlJc w:val="right"/>
      <w:pPr>
        <w:ind w:left="2359" w:hanging="180"/>
      </w:pPr>
    </w:lvl>
    <w:lvl w:ilvl="3" w:tplc="0409000F">
      <w:start w:val="1"/>
      <w:numFmt w:val="decimal"/>
      <w:lvlText w:val="%4."/>
      <w:lvlJc w:val="left"/>
      <w:pPr>
        <w:ind w:left="3079" w:hanging="360"/>
      </w:pPr>
    </w:lvl>
    <w:lvl w:ilvl="4" w:tplc="04090019">
      <w:start w:val="1"/>
      <w:numFmt w:val="lowerLetter"/>
      <w:lvlText w:val="%5."/>
      <w:lvlJc w:val="left"/>
      <w:pPr>
        <w:ind w:left="3799" w:hanging="360"/>
      </w:pPr>
    </w:lvl>
    <w:lvl w:ilvl="5" w:tplc="0409001B">
      <w:start w:val="1"/>
      <w:numFmt w:val="lowerRoman"/>
      <w:lvlText w:val="%6."/>
      <w:lvlJc w:val="right"/>
      <w:pPr>
        <w:ind w:left="4519" w:hanging="180"/>
      </w:pPr>
    </w:lvl>
    <w:lvl w:ilvl="6" w:tplc="0409000F">
      <w:start w:val="1"/>
      <w:numFmt w:val="decimal"/>
      <w:lvlText w:val="%7."/>
      <w:lvlJc w:val="left"/>
      <w:pPr>
        <w:ind w:left="5239" w:hanging="360"/>
      </w:pPr>
    </w:lvl>
    <w:lvl w:ilvl="7" w:tplc="04090019">
      <w:start w:val="1"/>
      <w:numFmt w:val="lowerLetter"/>
      <w:lvlText w:val="%8."/>
      <w:lvlJc w:val="left"/>
      <w:pPr>
        <w:ind w:left="5959" w:hanging="360"/>
      </w:pPr>
    </w:lvl>
    <w:lvl w:ilvl="8" w:tplc="0409001B">
      <w:start w:val="1"/>
      <w:numFmt w:val="lowerRoman"/>
      <w:lvlText w:val="%9."/>
      <w:lvlJc w:val="right"/>
      <w:pPr>
        <w:ind w:left="6679" w:hanging="180"/>
      </w:pPr>
    </w:lvl>
  </w:abstractNum>
  <w:abstractNum w:abstractNumId="35" w15:restartNumberingAfterBreak="0">
    <w:nsid w:val="5D67743B"/>
    <w:multiLevelType w:val="hybridMultilevel"/>
    <w:tmpl w:val="9EB8728C"/>
    <w:lvl w:ilvl="0" w:tplc="844CEDB4">
      <w:start w:val="1"/>
      <w:numFmt w:val="decimal"/>
      <w:lvlText w:val="%1."/>
      <w:lvlJc w:val="left"/>
      <w:pPr>
        <w:ind w:left="1287" w:hanging="360"/>
      </w:pPr>
    </w:lvl>
    <w:lvl w:ilvl="1" w:tplc="C9BA7C92" w:tentative="1">
      <w:start w:val="1"/>
      <w:numFmt w:val="lowerLetter"/>
      <w:lvlText w:val="%2."/>
      <w:lvlJc w:val="left"/>
      <w:pPr>
        <w:ind w:left="2007" w:hanging="360"/>
      </w:pPr>
    </w:lvl>
    <w:lvl w:ilvl="2" w:tplc="6F92B2B8" w:tentative="1">
      <w:start w:val="1"/>
      <w:numFmt w:val="lowerRoman"/>
      <w:lvlText w:val="%3."/>
      <w:lvlJc w:val="right"/>
      <w:pPr>
        <w:ind w:left="2727" w:hanging="180"/>
      </w:pPr>
    </w:lvl>
    <w:lvl w:ilvl="3" w:tplc="F4D07482" w:tentative="1">
      <w:start w:val="1"/>
      <w:numFmt w:val="decimal"/>
      <w:lvlText w:val="%4."/>
      <w:lvlJc w:val="left"/>
      <w:pPr>
        <w:ind w:left="3447" w:hanging="360"/>
      </w:pPr>
    </w:lvl>
    <w:lvl w:ilvl="4" w:tplc="10B8DA92" w:tentative="1">
      <w:start w:val="1"/>
      <w:numFmt w:val="lowerLetter"/>
      <w:lvlText w:val="%5."/>
      <w:lvlJc w:val="left"/>
      <w:pPr>
        <w:ind w:left="4167" w:hanging="360"/>
      </w:pPr>
    </w:lvl>
    <w:lvl w:ilvl="5" w:tplc="C56C6FA6" w:tentative="1">
      <w:start w:val="1"/>
      <w:numFmt w:val="lowerRoman"/>
      <w:lvlText w:val="%6."/>
      <w:lvlJc w:val="right"/>
      <w:pPr>
        <w:ind w:left="4887" w:hanging="180"/>
      </w:pPr>
    </w:lvl>
    <w:lvl w:ilvl="6" w:tplc="B62A094A" w:tentative="1">
      <w:start w:val="1"/>
      <w:numFmt w:val="decimal"/>
      <w:lvlText w:val="%7."/>
      <w:lvlJc w:val="left"/>
      <w:pPr>
        <w:ind w:left="5607" w:hanging="360"/>
      </w:pPr>
    </w:lvl>
    <w:lvl w:ilvl="7" w:tplc="C7C09DC0" w:tentative="1">
      <w:start w:val="1"/>
      <w:numFmt w:val="lowerLetter"/>
      <w:lvlText w:val="%8."/>
      <w:lvlJc w:val="left"/>
      <w:pPr>
        <w:ind w:left="6327" w:hanging="360"/>
      </w:pPr>
    </w:lvl>
    <w:lvl w:ilvl="8" w:tplc="76A2AC10" w:tentative="1">
      <w:start w:val="1"/>
      <w:numFmt w:val="lowerRoman"/>
      <w:lvlText w:val="%9."/>
      <w:lvlJc w:val="right"/>
      <w:pPr>
        <w:ind w:left="7047" w:hanging="180"/>
      </w:pPr>
    </w:lvl>
  </w:abstractNum>
  <w:abstractNum w:abstractNumId="36" w15:restartNumberingAfterBreak="0">
    <w:nsid w:val="6B1302CB"/>
    <w:multiLevelType w:val="hybridMultilevel"/>
    <w:tmpl w:val="BD8C4D04"/>
    <w:lvl w:ilvl="0" w:tplc="8CF411A6">
      <w:start w:val="1"/>
      <w:numFmt w:val="decimal"/>
      <w:lvlText w:val="%1."/>
      <w:lvlJc w:val="left"/>
      <w:pPr>
        <w:ind w:left="1287" w:hanging="360"/>
      </w:pPr>
    </w:lvl>
    <w:lvl w:ilvl="1" w:tplc="5ED80886" w:tentative="1">
      <w:start w:val="1"/>
      <w:numFmt w:val="lowerLetter"/>
      <w:lvlText w:val="%2."/>
      <w:lvlJc w:val="left"/>
      <w:pPr>
        <w:ind w:left="2007" w:hanging="360"/>
      </w:pPr>
    </w:lvl>
    <w:lvl w:ilvl="2" w:tplc="35C0682C" w:tentative="1">
      <w:start w:val="1"/>
      <w:numFmt w:val="lowerRoman"/>
      <w:lvlText w:val="%3."/>
      <w:lvlJc w:val="right"/>
      <w:pPr>
        <w:ind w:left="2727" w:hanging="180"/>
      </w:pPr>
    </w:lvl>
    <w:lvl w:ilvl="3" w:tplc="00587F44" w:tentative="1">
      <w:start w:val="1"/>
      <w:numFmt w:val="decimal"/>
      <w:lvlText w:val="%4."/>
      <w:lvlJc w:val="left"/>
      <w:pPr>
        <w:ind w:left="3447" w:hanging="360"/>
      </w:pPr>
    </w:lvl>
    <w:lvl w:ilvl="4" w:tplc="E2B03878" w:tentative="1">
      <w:start w:val="1"/>
      <w:numFmt w:val="lowerLetter"/>
      <w:lvlText w:val="%5."/>
      <w:lvlJc w:val="left"/>
      <w:pPr>
        <w:ind w:left="4167" w:hanging="360"/>
      </w:pPr>
    </w:lvl>
    <w:lvl w:ilvl="5" w:tplc="DC424EEE" w:tentative="1">
      <w:start w:val="1"/>
      <w:numFmt w:val="lowerRoman"/>
      <w:lvlText w:val="%6."/>
      <w:lvlJc w:val="right"/>
      <w:pPr>
        <w:ind w:left="4887" w:hanging="180"/>
      </w:pPr>
    </w:lvl>
    <w:lvl w:ilvl="6" w:tplc="55ACFADC" w:tentative="1">
      <w:start w:val="1"/>
      <w:numFmt w:val="decimal"/>
      <w:lvlText w:val="%7."/>
      <w:lvlJc w:val="left"/>
      <w:pPr>
        <w:ind w:left="5607" w:hanging="360"/>
      </w:pPr>
    </w:lvl>
    <w:lvl w:ilvl="7" w:tplc="763C4D4A" w:tentative="1">
      <w:start w:val="1"/>
      <w:numFmt w:val="lowerLetter"/>
      <w:lvlText w:val="%8."/>
      <w:lvlJc w:val="left"/>
      <w:pPr>
        <w:ind w:left="6327" w:hanging="360"/>
      </w:pPr>
    </w:lvl>
    <w:lvl w:ilvl="8" w:tplc="6BBA1AD4" w:tentative="1">
      <w:start w:val="1"/>
      <w:numFmt w:val="lowerRoman"/>
      <w:lvlText w:val="%9."/>
      <w:lvlJc w:val="right"/>
      <w:pPr>
        <w:ind w:left="7047" w:hanging="180"/>
      </w:pPr>
    </w:lvl>
  </w:abstractNum>
  <w:abstractNum w:abstractNumId="37" w15:restartNumberingAfterBreak="0">
    <w:nsid w:val="6D146ADA"/>
    <w:multiLevelType w:val="hybridMultilevel"/>
    <w:tmpl w:val="B39630C2"/>
    <w:lvl w:ilvl="0" w:tplc="C58896A4">
      <w:start w:val="1"/>
      <w:numFmt w:val="decimal"/>
      <w:lvlText w:val="%1."/>
      <w:lvlJc w:val="left"/>
      <w:pPr>
        <w:ind w:left="1137" w:hanging="57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8" w15:restartNumberingAfterBreak="0">
    <w:nsid w:val="706939E2"/>
    <w:multiLevelType w:val="hybridMultilevel"/>
    <w:tmpl w:val="274E51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9481646"/>
    <w:multiLevelType w:val="hybridMultilevel"/>
    <w:tmpl w:val="64F2F25A"/>
    <w:lvl w:ilvl="0" w:tplc="4260C848">
      <w:start w:val="1"/>
      <w:numFmt w:val="decimal"/>
      <w:lvlText w:val="%1."/>
      <w:lvlJc w:val="left"/>
      <w:pPr>
        <w:ind w:left="720" w:hanging="360"/>
      </w:pPr>
    </w:lvl>
    <w:lvl w:ilvl="1" w:tplc="E502002A" w:tentative="1">
      <w:start w:val="1"/>
      <w:numFmt w:val="lowerLetter"/>
      <w:lvlText w:val="%2."/>
      <w:lvlJc w:val="left"/>
      <w:pPr>
        <w:ind w:left="1440" w:hanging="360"/>
      </w:pPr>
    </w:lvl>
    <w:lvl w:ilvl="2" w:tplc="A26C9906" w:tentative="1">
      <w:start w:val="1"/>
      <w:numFmt w:val="lowerRoman"/>
      <w:lvlText w:val="%3."/>
      <w:lvlJc w:val="right"/>
      <w:pPr>
        <w:ind w:left="2160" w:hanging="180"/>
      </w:pPr>
    </w:lvl>
    <w:lvl w:ilvl="3" w:tplc="E5AED54C" w:tentative="1">
      <w:start w:val="1"/>
      <w:numFmt w:val="decimal"/>
      <w:lvlText w:val="%4."/>
      <w:lvlJc w:val="left"/>
      <w:pPr>
        <w:ind w:left="2880" w:hanging="360"/>
      </w:pPr>
    </w:lvl>
    <w:lvl w:ilvl="4" w:tplc="85FC7D94" w:tentative="1">
      <w:start w:val="1"/>
      <w:numFmt w:val="lowerLetter"/>
      <w:lvlText w:val="%5."/>
      <w:lvlJc w:val="left"/>
      <w:pPr>
        <w:ind w:left="3600" w:hanging="360"/>
      </w:pPr>
    </w:lvl>
    <w:lvl w:ilvl="5" w:tplc="24FC3366" w:tentative="1">
      <w:start w:val="1"/>
      <w:numFmt w:val="lowerRoman"/>
      <w:lvlText w:val="%6."/>
      <w:lvlJc w:val="right"/>
      <w:pPr>
        <w:ind w:left="4320" w:hanging="180"/>
      </w:pPr>
    </w:lvl>
    <w:lvl w:ilvl="6" w:tplc="53D233DA" w:tentative="1">
      <w:start w:val="1"/>
      <w:numFmt w:val="decimal"/>
      <w:lvlText w:val="%7."/>
      <w:lvlJc w:val="left"/>
      <w:pPr>
        <w:ind w:left="5040" w:hanging="360"/>
      </w:pPr>
    </w:lvl>
    <w:lvl w:ilvl="7" w:tplc="AAEA6774" w:tentative="1">
      <w:start w:val="1"/>
      <w:numFmt w:val="lowerLetter"/>
      <w:lvlText w:val="%8."/>
      <w:lvlJc w:val="left"/>
      <w:pPr>
        <w:ind w:left="5760" w:hanging="360"/>
      </w:pPr>
    </w:lvl>
    <w:lvl w:ilvl="8" w:tplc="5DA4F912" w:tentative="1">
      <w:start w:val="1"/>
      <w:numFmt w:val="lowerRoman"/>
      <w:lvlText w:val="%9."/>
      <w:lvlJc w:val="right"/>
      <w:pPr>
        <w:ind w:left="6480" w:hanging="180"/>
      </w:pPr>
    </w:lvl>
  </w:abstractNum>
  <w:abstractNum w:abstractNumId="40" w15:restartNumberingAfterBreak="0">
    <w:nsid w:val="79A75F19"/>
    <w:multiLevelType w:val="hybridMultilevel"/>
    <w:tmpl w:val="7D40885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CEB1B31"/>
    <w:multiLevelType w:val="hybridMultilevel"/>
    <w:tmpl w:val="CA628AF8"/>
    <w:lvl w:ilvl="0" w:tplc="0D4C9ADA">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num w:numId="1">
    <w:abstractNumId w:val="35"/>
  </w:num>
  <w:num w:numId="2">
    <w:abstractNumId w:val="36"/>
  </w:num>
  <w:num w:numId="3">
    <w:abstractNumId w:val="39"/>
  </w:num>
  <w:num w:numId="4">
    <w:abstractNumId w:val="29"/>
  </w:num>
  <w:num w:numId="5">
    <w:abstractNumId w:val="31"/>
  </w:num>
  <w:num w:numId="6">
    <w:abstractNumId w:val="40"/>
  </w:num>
  <w:num w:numId="7">
    <w:abstractNumId w:val="14"/>
  </w:num>
  <w:num w:numId="8">
    <w:abstractNumId w:val="4"/>
  </w:num>
  <w:num w:numId="9">
    <w:abstractNumId w:val="2"/>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26"/>
  </w:num>
  <w:num w:numId="23">
    <w:abstractNumId w:val="9"/>
  </w:num>
  <w:num w:numId="24">
    <w:abstractNumId w:val="0"/>
  </w:num>
  <w:num w:numId="25">
    <w:abstractNumId w:val="38"/>
  </w:num>
  <w:num w:numId="26">
    <w:abstractNumId w:val="5"/>
  </w:num>
  <w:num w:numId="27">
    <w:abstractNumId w:val="6"/>
  </w:num>
  <w:num w:numId="28">
    <w:abstractNumId w:val="19"/>
  </w:num>
  <w:num w:numId="29">
    <w:abstractNumId w:val="1"/>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num>
  <w:num w:numId="33">
    <w:abstractNumId w:val="37"/>
  </w:num>
  <w:num w:numId="34">
    <w:abstractNumId w:val="28"/>
  </w:num>
  <w:num w:numId="35">
    <w:abstractNumId w:val="24"/>
  </w:num>
  <w:num w:numId="36">
    <w:abstractNumId w:val="16"/>
  </w:num>
  <w:num w:numId="37">
    <w:abstractNumId w:val="41"/>
  </w:num>
  <w:num w:numId="38">
    <w:abstractNumId w:val="8"/>
  </w:num>
  <w:num w:numId="39">
    <w:abstractNumId w:val="33"/>
  </w:num>
  <w:num w:numId="40">
    <w:abstractNumId w:val="15"/>
  </w:num>
  <w:num w:numId="41">
    <w:abstractNumId w:val="25"/>
  </w:num>
  <w:num w:numId="42">
    <w:abstractNumId w:val="23"/>
  </w:num>
  <w:num w:numId="4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4983"/>
    <w:rsid w:val="0000100C"/>
    <w:rsid w:val="00001E43"/>
    <w:rsid w:val="00001E59"/>
    <w:rsid w:val="000028C9"/>
    <w:rsid w:val="0000301B"/>
    <w:rsid w:val="00003478"/>
    <w:rsid w:val="00005656"/>
    <w:rsid w:val="00005A70"/>
    <w:rsid w:val="00006CBC"/>
    <w:rsid w:val="0000781B"/>
    <w:rsid w:val="00007B93"/>
    <w:rsid w:val="00011152"/>
    <w:rsid w:val="00012C64"/>
    <w:rsid w:val="000146C3"/>
    <w:rsid w:val="00014948"/>
    <w:rsid w:val="000156A7"/>
    <w:rsid w:val="000157CF"/>
    <w:rsid w:val="000159E6"/>
    <w:rsid w:val="00017AA1"/>
    <w:rsid w:val="00020194"/>
    <w:rsid w:val="00021579"/>
    <w:rsid w:val="00021A41"/>
    <w:rsid w:val="000223AE"/>
    <w:rsid w:val="0002260B"/>
    <w:rsid w:val="00024186"/>
    <w:rsid w:val="000253DB"/>
    <w:rsid w:val="000257BF"/>
    <w:rsid w:val="00025B08"/>
    <w:rsid w:val="000271AF"/>
    <w:rsid w:val="00031490"/>
    <w:rsid w:val="0003214E"/>
    <w:rsid w:val="000335E5"/>
    <w:rsid w:val="0003419A"/>
    <w:rsid w:val="0003466E"/>
    <w:rsid w:val="00034CF8"/>
    <w:rsid w:val="00035304"/>
    <w:rsid w:val="000362AA"/>
    <w:rsid w:val="000379E3"/>
    <w:rsid w:val="00040E89"/>
    <w:rsid w:val="00041B87"/>
    <w:rsid w:val="00041FE5"/>
    <w:rsid w:val="00042C56"/>
    <w:rsid w:val="00042F9F"/>
    <w:rsid w:val="000458D3"/>
    <w:rsid w:val="000465DB"/>
    <w:rsid w:val="00047DF4"/>
    <w:rsid w:val="00050F30"/>
    <w:rsid w:val="00050F49"/>
    <w:rsid w:val="0005128B"/>
    <w:rsid w:val="00051C1C"/>
    <w:rsid w:val="00052736"/>
    <w:rsid w:val="00052846"/>
    <w:rsid w:val="00053904"/>
    <w:rsid w:val="000548A3"/>
    <w:rsid w:val="0005505A"/>
    <w:rsid w:val="00055229"/>
    <w:rsid w:val="00057EBD"/>
    <w:rsid w:val="00060CC8"/>
    <w:rsid w:val="00061059"/>
    <w:rsid w:val="0006462F"/>
    <w:rsid w:val="00064961"/>
    <w:rsid w:val="00065246"/>
    <w:rsid w:val="000652AE"/>
    <w:rsid w:val="0006533F"/>
    <w:rsid w:val="000654B5"/>
    <w:rsid w:val="00073D40"/>
    <w:rsid w:val="0007553F"/>
    <w:rsid w:val="00076340"/>
    <w:rsid w:val="00076548"/>
    <w:rsid w:val="00080488"/>
    <w:rsid w:val="00080D43"/>
    <w:rsid w:val="000819CF"/>
    <w:rsid w:val="000845BC"/>
    <w:rsid w:val="0008551E"/>
    <w:rsid w:val="00085A42"/>
    <w:rsid w:val="00086207"/>
    <w:rsid w:val="00086F2B"/>
    <w:rsid w:val="00087C9C"/>
    <w:rsid w:val="00087EAF"/>
    <w:rsid w:val="000904DB"/>
    <w:rsid w:val="000911C7"/>
    <w:rsid w:val="000917FB"/>
    <w:rsid w:val="0009195D"/>
    <w:rsid w:val="000922D2"/>
    <w:rsid w:val="00092311"/>
    <w:rsid w:val="00095103"/>
    <w:rsid w:val="0009541F"/>
    <w:rsid w:val="000A03E0"/>
    <w:rsid w:val="000A0A42"/>
    <w:rsid w:val="000A0C8B"/>
    <w:rsid w:val="000A1616"/>
    <w:rsid w:val="000A2967"/>
    <w:rsid w:val="000A2E34"/>
    <w:rsid w:val="000A34D9"/>
    <w:rsid w:val="000A3F92"/>
    <w:rsid w:val="000A6311"/>
    <w:rsid w:val="000A6A39"/>
    <w:rsid w:val="000A6CF8"/>
    <w:rsid w:val="000A6FCD"/>
    <w:rsid w:val="000B0AE8"/>
    <w:rsid w:val="000B3D92"/>
    <w:rsid w:val="000B5039"/>
    <w:rsid w:val="000B57EB"/>
    <w:rsid w:val="000B61CB"/>
    <w:rsid w:val="000B6B6D"/>
    <w:rsid w:val="000B70FD"/>
    <w:rsid w:val="000C16B4"/>
    <w:rsid w:val="000C1C5F"/>
    <w:rsid w:val="000C273D"/>
    <w:rsid w:val="000C2D9C"/>
    <w:rsid w:val="000C6473"/>
    <w:rsid w:val="000C689E"/>
    <w:rsid w:val="000C7193"/>
    <w:rsid w:val="000C7452"/>
    <w:rsid w:val="000D01D8"/>
    <w:rsid w:val="000D2B08"/>
    <w:rsid w:val="000D3C96"/>
    <w:rsid w:val="000D40D4"/>
    <w:rsid w:val="000D4ECE"/>
    <w:rsid w:val="000D530A"/>
    <w:rsid w:val="000D647A"/>
    <w:rsid w:val="000D6A01"/>
    <w:rsid w:val="000D70E1"/>
    <w:rsid w:val="000D7169"/>
    <w:rsid w:val="000D725B"/>
    <w:rsid w:val="000D7B7E"/>
    <w:rsid w:val="000E0100"/>
    <w:rsid w:val="000E055E"/>
    <w:rsid w:val="000E242C"/>
    <w:rsid w:val="000E29A9"/>
    <w:rsid w:val="000E377C"/>
    <w:rsid w:val="000E3A96"/>
    <w:rsid w:val="000E6F2C"/>
    <w:rsid w:val="000E7799"/>
    <w:rsid w:val="000E7C46"/>
    <w:rsid w:val="000F1BFC"/>
    <w:rsid w:val="000F2C9B"/>
    <w:rsid w:val="000F4225"/>
    <w:rsid w:val="000F47F4"/>
    <w:rsid w:val="000F5464"/>
    <w:rsid w:val="000F5B39"/>
    <w:rsid w:val="000F6354"/>
    <w:rsid w:val="00100280"/>
    <w:rsid w:val="00101835"/>
    <w:rsid w:val="0010190C"/>
    <w:rsid w:val="00102631"/>
    <w:rsid w:val="00103489"/>
    <w:rsid w:val="0010421C"/>
    <w:rsid w:val="00104F53"/>
    <w:rsid w:val="001054AC"/>
    <w:rsid w:val="001065AE"/>
    <w:rsid w:val="00106EC5"/>
    <w:rsid w:val="00107F61"/>
    <w:rsid w:val="00111922"/>
    <w:rsid w:val="00111B50"/>
    <w:rsid w:val="00111F0D"/>
    <w:rsid w:val="00112B31"/>
    <w:rsid w:val="00112C5A"/>
    <w:rsid w:val="00113DC9"/>
    <w:rsid w:val="00113F40"/>
    <w:rsid w:val="001142FB"/>
    <w:rsid w:val="0011474D"/>
    <w:rsid w:val="00115392"/>
    <w:rsid w:val="00115678"/>
    <w:rsid w:val="00115852"/>
    <w:rsid w:val="0011586F"/>
    <w:rsid w:val="00120EFA"/>
    <w:rsid w:val="001217C2"/>
    <w:rsid w:val="00121D92"/>
    <w:rsid w:val="001223F7"/>
    <w:rsid w:val="00122659"/>
    <w:rsid w:val="00124EC9"/>
    <w:rsid w:val="00125499"/>
    <w:rsid w:val="0012647E"/>
    <w:rsid w:val="00130021"/>
    <w:rsid w:val="00130A11"/>
    <w:rsid w:val="00131C74"/>
    <w:rsid w:val="0013399E"/>
    <w:rsid w:val="00133F4B"/>
    <w:rsid w:val="00134286"/>
    <w:rsid w:val="001343A1"/>
    <w:rsid w:val="0013503D"/>
    <w:rsid w:val="0013532C"/>
    <w:rsid w:val="001362B0"/>
    <w:rsid w:val="00136513"/>
    <w:rsid w:val="00136D88"/>
    <w:rsid w:val="00141D46"/>
    <w:rsid w:val="00142FE6"/>
    <w:rsid w:val="001439A5"/>
    <w:rsid w:val="00143C63"/>
    <w:rsid w:val="00144D14"/>
    <w:rsid w:val="00144FDD"/>
    <w:rsid w:val="00145A5D"/>
    <w:rsid w:val="0015025D"/>
    <w:rsid w:val="00152876"/>
    <w:rsid w:val="00152A6E"/>
    <w:rsid w:val="00153694"/>
    <w:rsid w:val="00153B14"/>
    <w:rsid w:val="001551F0"/>
    <w:rsid w:val="0015562A"/>
    <w:rsid w:val="0016060D"/>
    <w:rsid w:val="001606D2"/>
    <w:rsid w:val="00160D58"/>
    <w:rsid w:val="001612CB"/>
    <w:rsid w:val="00161C1E"/>
    <w:rsid w:val="0016391A"/>
    <w:rsid w:val="00163A3B"/>
    <w:rsid w:val="001646A1"/>
    <w:rsid w:val="00165565"/>
    <w:rsid w:val="00165BCE"/>
    <w:rsid w:val="00166C95"/>
    <w:rsid w:val="00167E00"/>
    <w:rsid w:val="00170411"/>
    <w:rsid w:val="00170A14"/>
    <w:rsid w:val="001716BA"/>
    <w:rsid w:val="00171C70"/>
    <w:rsid w:val="00171E63"/>
    <w:rsid w:val="0017290A"/>
    <w:rsid w:val="00172E4F"/>
    <w:rsid w:val="001741C0"/>
    <w:rsid w:val="00174CEC"/>
    <w:rsid w:val="00175066"/>
    <w:rsid w:val="00176347"/>
    <w:rsid w:val="001776CC"/>
    <w:rsid w:val="0018045E"/>
    <w:rsid w:val="00181107"/>
    <w:rsid w:val="00181E12"/>
    <w:rsid w:val="00182092"/>
    <w:rsid w:val="001823F4"/>
    <w:rsid w:val="00182C47"/>
    <w:rsid w:val="0019078F"/>
    <w:rsid w:val="00190A2E"/>
    <w:rsid w:val="00191E5A"/>
    <w:rsid w:val="001922CF"/>
    <w:rsid w:val="00194A51"/>
    <w:rsid w:val="00195384"/>
    <w:rsid w:val="001953E7"/>
    <w:rsid w:val="001957C4"/>
    <w:rsid w:val="00195B5D"/>
    <w:rsid w:val="001A0A4E"/>
    <w:rsid w:val="001A1168"/>
    <w:rsid w:val="001A258F"/>
    <w:rsid w:val="001A2A95"/>
    <w:rsid w:val="001A45A8"/>
    <w:rsid w:val="001A5400"/>
    <w:rsid w:val="001A6517"/>
    <w:rsid w:val="001A73B7"/>
    <w:rsid w:val="001B1A3E"/>
    <w:rsid w:val="001B27C7"/>
    <w:rsid w:val="001B3A88"/>
    <w:rsid w:val="001B4D28"/>
    <w:rsid w:val="001B4DC4"/>
    <w:rsid w:val="001B526E"/>
    <w:rsid w:val="001B5535"/>
    <w:rsid w:val="001B55DC"/>
    <w:rsid w:val="001B6017"/>
    <w:rsid w:val="001B651A"/>
    <w:rsid w:val="001B684D"/>
    <w:rsid w:val="001C06EC"/>
    <w:rsid w:val="001C0E57"/>
    <w:rsid w:val="001C27AE"/>
    <w:rsid w:val="001C3991"/>
    <w:rsid w:val="001C4113"/>
    <w:rsid w:val="001C5BF7"/>
    <w:rsid w:val="001C5D04"/>
    <w:rsid w:val="001C70EF"/>
    <w:rsid w:val="001C71E9"/>
    <w:rsid w:val="001C76DA"/>
    <w:rsid w:val="001C76E6"/>
    <w:rsid w:val="001C770C"/>
    <w:rsid w:val="001D1376"/>
    <w:rsid w:val="001D2F2C"/>
    <w:rsid w:val="001D3027"/>
    <w:rsid w:val="001D3DF0"/>
    <w:rsid w:val="001D3F7B"/>
    <w:rsid w:val="001D5F7D"/>
    <w:rsid w:val="001D6507"/>
    <w:rsid w:val="001D6C5F"/>
    <w:rsid w:val="001E09AF"/>
    <w:rsid w:val="001E0B94"/>
    <w:rsid w:val="001E2854"/>
    <w:rsid w:val="001E3265"/>
    <w:rsid w:val="001E63E8"/>
    <w:rsid w:val="001E64E8"/>
    <w:rsid w:val="001E6EF5"/>
    <w:rsid w:val="001E70DB"/>
    <w:rsid w:val="001E727E"/>
    <w:rsid w:val="001F05B8"/>
    <w:rsid w:val="001F1A15"/>
    <w:rsid w:val="001F1FD2"/>
    <w:rsid w:val="001F2FC4"/>
    <w:rsid w:val="001F466C"/>
    <w:rsid w:val="001F5044"/>
    <w:rsid w:val="001F5942"/>
    <w:rsid w:val="001F668A"/>
    <w:rsid w:val="002003A4"/>
    <w:rsid w:val="00200A3B"/>
    <w:rsid w:val="00202F77"/>
    <w:rsid w:val="00204215"/>
    <w:rsid w:val="002045CA"/>
    <w:rsid w:val="00205562"/>
    <w:rsid w:val="0020574C"/>
    <w:rsid w:val="002068EB"/>
    <w:rsid w:val="00207083"/>
    <w:rsid w:val="002079A5"/>
    <w:rsid w:val="00207FFA"/>
    <w:rsid w:val="00211F67"/>
    <w:rsid w:val="0021225B"/>
    <w:rsid w:val="002158BD"/>
    <w:rsid w:val="00216746"/>
    <w:rsid w:val="00216CBD"/>
    <w:rsid w:val="00220BBA"/>
    <w:rsid w:val="0022109B"/>
    <w:rsid w:val="00221FB0"/>
    <w:rsid w:val="00223198"/>
    <w:rsid w:val="00225D92"/>
    <w:rsid w:val="00226227"/>
    <w:rsid w:val="0022686C"/>
    <w:rsid w:val="00226F88"/>
    <w:rsid w:val="00227E5E"/>
    <w:rsid w:val="0023046F"/>
    <w:rsid w:val="00230850"/>
    <w:rsid w:val="0023102D"/>
    <w:rsid w:val="00231E97"/>
    <w:rsid w:val="00232C18"/>
    <w:rsid w:val="00234993"/>
    <w:rsid w:val="002363CF"/>
    <w:rsid w:val="00237CD8"/>
    <w:rsid w:val="0024003A"/>
    <w:rsid w:val="00240831"/>
    <w:rsid w:val="002410CE"/>
    <w:rsid w:val="00242DFF"/>
    <w:rsid w:val="002441A1"/>
    <w:rsid w:val="002448CC"/>
    <w:rsid w:val="002459C5"/>
    <w:rsid w:val="002469AE"/>
    <w:rsid w:val="00246AC1"/>
    <w:rsid w:val="00246D22"/>
    <w:rsid w:val="0025073E"/>
    <w:rsid w:val="002511FD"/>
    <w:rsid w:val="00252A01"/>
    <w:rsid w:val="00253BB8"/>
    <w:rsid w:val="00254050"/>
    <w:rsid w:val="00254C8A"/>
    <w:rsid w:val="002553F3"/>
    <w:rsid w:val="00256807"/>
    <w:rsid w:val="00256B0E"/>
    <w:rsid w:val="002604FB"/>
    <w:rsid w:val="002613DD"/>
    <w:rsid w:val="00261854"/>
    <w:rsid w:val="00261EDE"/>
    <w:rsid w:val="00262972"/>
    <w:rsid w:val="00262EFF"/>
    <w:rsid w:val="002632A5"/>
    <w:rsid w:val="0026339B"/>
    <w:rsid w:val="002634A1"/>
    <w:rsid w:val="00263B3B"/>
    <w:rsid w:val="00263FE0"/>
    <w:rsid w:val="00265A86"/>
    <w:rsid w:val="00266BF7"/>
    <w:rsid w:val="00270933"/>
    <w:rsid w:val="0027117B"/>
    <w:rsid w:val="00271482"/>
    <w:rsid w:val="00272BC7"/>
    <w:rsid w:val="00272E93"/>
    <w:rsid w:val="002734AC"/>
    <w:rsid w:val="00273D58"/>
    <w:rsid w:val="0027523C"/>
    <w:rsid w:val="00275495"/>
    <w:rsid w:val="0027578C"/>
    <w:rsid w:val="00277997"/>
    <w:rsid w:val="00277B73"/>
    <w:rsid w:val="0028039F"/>
    <w:rsid w:val="00280A28"/>
    <w:rsid w:val="00281A9B"/>
    <w:rsid w:val="00282370"/>
    <w:rsid w:val="002833BF"/>
    <w:rsid w:val="002836A3"/>
    <w:rsid w:val="0028585B"/>
    <w:rsid w:val="0028734F"/>
    <w:rsid w:val="002905F7"/>
    <w:rsid w:val="0029062C"/>
    <w:rsid w:val="002908B5"/>
    <w:rsid w:val="00290B66"/>
    <w:rsid w:val="00290EF7"/>
    <w:rsid w:val="00290FB7"/>
    <w:rsid w:val="00290FC4"/>
    <w:rsid w:val="00291705"/>
    <w:rsid w:val="00292068"/>
    <w:rsid w:val="00292373"/>
    <w:rsid w:val="00293881"/>
    <w:rsid w:val="00293E71"/>
    <w:rsid w:val="00294289"/>
    <w:rsid w:val="002950ED"/>
    <w:rsid w:val="002959C8"/>
    <w:rsid w:val="002963C8"/>
    <w:rsid w:val="00296676"/>
    <w:rsid w:val="002A15E1"/>
    <w:rsid w:val="002A2C82"/>
    <w:rsid w:val="002A3856"/>
    <w:rsid w:val="002A3B36"/>
    <w:rsid w:val="002A3F08"/>
    <w:rsid w:val="002A4C3F"/>
    <w:rsid w:val="002A4F06"/>
    <w:rsid w:val="002A5C94"/>
    <w:rsid w:val="002A6C79"/>
    <w:rsid w:val="002A7AE8"/>
    <w:rsid w:val="002B0EA9"/>
    <w:rsid w:val="002B15CC"/>
    <w:rsid w:val="002B23B2"/>
    <w:rsid w:val="002B3BC1"/>
    <w:rsid w:val="002B53C3"/>
    <w:rsid w:val="002B5481"/>
    <w:rsid w:val="002B5FEF"/>
    <w:rsid w:val="002C0006"/>
    <w:rsid w:val="002C271D"/>
    <w:rsid w:val="002C2B7F"/>
    <w:rsid w:val="002C3236"/>
    <w:rsid w:val="002C546F"/>
    <w:rsid w:val="002C583F"/>
    <w:rsid w:val="002C5954"/>
    <w:rsid w:val="002C7546"/>
    <w:rsid w:val="002D0CC8"/>
    <w:rsid w:val="002D12B7"/>
    <w:rsid w:val="002D179C"/>
    <w:rsid w:val="002D1FAD"/>
    <w:rsid w:val="002D2CC7"/>
    <w:rsid w:val="002D35BB"/>
    <w:rsid w:val="002D3CB7"/>
    <w:rsid w:val="002D481B"/>
    <w:rsid w:val="002D484E"/>
    <w:rsid w:val="002D4D6D"/>
    <w:rsid w:val="002E088B"/>
    <w:rsid w:val="002E08F6"/>
    <w:rsid w:val="002E0DCF"/>
    <w:rsid w:val="002E1714"/>
    <w:rsid w:val="002E1E6F"/>
    <w:rsid w:val="002E224D"/>
    <w:rsid w:val="002E3F29"/>
    <w:rsid w:val="002E48A6"/>
    <w:rsid w:val="002E59A9"/>
    <w:rsid w:val="002E6B2F"/>
    <w:rsid w:val="002F15C6"/>
    <w:rsid w:val="002F18C3"/>
    <w:rsid w:val="002F2CE7"/>
    <w:rsid w:val="002F4FAF"/>
    <w:rsid w:val="002F6A04"/>
    <w:rsid w:val="002F7878"/>
    <w:rsid w:val="003015E6"/>
    <w:rsid w:val="003024FC"/>
    <w:rsid w:val="0030349C"/>
    <w:rsid w:val="0030352B"/>
    <w:rsid w:val="00303A96"/>
    <w:rsid w:val="00303C60"/>
    <w:rsid w:val="003051DB"/>
    <w:rsid w:val="00306176"/>
    <w:rsid w:val="00306D24"/>
    <w:rsid w:val="00314374"/>
    <w:rsid w:val="00314C5E"/>
    <w:rsid w:val="00314D39"/>
    <w:rsid w:val="00314E9D"/>
    <w:rsid w:val="00315044"/>
    <w:rsid w:val="0031579D"/>
    <w:rsid w:val="0031659A"/>
    <w:rsid w:val="00316FA3"/>
    <w:rsid w:val="0031726D"/>
    <w:rsid w:val="0031736F"/>
    <w:rsid w:val="00320620"/>
    <w:rsid w:val="0032106E"/>
    <w:rsid w:val="00321941"/>
    <w:rsid w:val="00321F7C"/>
    <w:rsid w:val="003251E5"/>
    <w:rsid w:val="00326967"/>
    <w:rsid w:val="00326ACA"/>
    <w:rsid w:val="00327A2D"/>
    <w:rsid w:val="00327C19"/>
    <w:rsid w:val="00330257"/>
    <w:rsid w:val="00330CF4"/>
    <w:rsid w:val="0033155A"/>
    <w:rsid w:val="0033269F"/>
    <w:rsid w:val="00333469"/>
    <w:rsid w:val="00333FDC"/>
    <w:rsid w:val="0033619E"/>
    <w:rsid w:val="0033727F"/>
    <w:rsid w:val="003402A6"/>
    <w:rsid w:val="00340CFA"/>
    <w:rsid w:val="00341776"/>
    <w:rsid w:val="003422DD"/>
    <w:rsid w:val="0034266E"/>
    <w:rsid w:val="00342D08"/>
    <w:rsid w:val="00343DE9"/>
    <w:rsid w:val="00344A00"/>
    <w:rsid w:val="00344D4B"/>
    <w:rsid w:val="003454C9"/>
    <w:rsid w:val="00347431"/>
    <w:rsid w:val="00347CF5"/>
    <w:rsid w:val="003508B2"/>
    <w:rsid w:val="00350EB6"/>
    <w:rsid w:val="003511EA"/>
    <w:rsid w:val="003522E6"/>
    <w:rsid w:val="00352518"/>
    <w:rsid w:val="00352DF3"/>
    <w:rsid w:val="00353006"/>
    <w:rsid w:val="00353C71"/>
    <w:rsid w:val="003542AE"/>
    <w:rsid w:val="003558B3"/>
    <w:rsid w:val="0035619D"/>
    <w:rsid w:val="00356870"/>
    <w:rsid w:val="00357089"/>
    <w:rsid w:val="003573A0"/>
    <w:rsid w:val="00357460"/>
    <w:rsid w:val="0035759F"/>
    <w:rsid w:val="003577CE"/>
    <w:rsid w:val="00360088"/>
    <w:rsid w:val="00361182"/>
    <w:rsid w:val="00362216"/>
    <w:rsid w:val="00363B69"/>
    <w:rsid w:val="00363D57"/>
    <w:rsid w:val="00363E00"/>
    <w:rsid w:val="00365A9F"/>
    <w:rsid w:val="0037491E"/>
    <w:rsid w:val="003801F2"/>
    <w:rsid w:val="003830FB"/>
    <w:rsid w:val="003841C7"/>
    <w:rsid w:val="00391C46"/>
    <w:rsid w:val="003924C2"/>
    <w:rsid w:val="00392BDF"/>
    <w:rsid w:val="00392DD8"/>
    <w:rsid w:val="00393FFC"/>
    <w:rsid w:val="003943DC"/>
    <w:rsid w:val="00394983"/>
    <w:rsid w:val="00395C92"/>
    <w:rsid w:val="00396373"/>
    <w:rsid w:val="003973B1"/>
    <w:rsid w:val="00397796"/>
    <w:rsid w:val="003A18F9"/>
    <w:rsid w:val="003A2A2A"/>
    <w:rsid w:val="003A2BC8"/>
    <w:rsid w:val="003A3EDE"/>
    <w:rsid w:val="003A4764"/>
    <w:rsid w:val="003A490F"/>
    <w:rsid w:val="003A5AEC"/>
    <w:rsid w:val="003A65FF"/>
    <w:rsid w:val="003A767C"/>
    <w:rsid w:val="003B23E0"/>
    <w:rsid w:val="003B249D"/>
    <w:rsid w:val="003B2804"/>
    <w:rsid w:val="003B3854"/>
    <w:rsid w:val="003B3DDE"/>
    <w:rsid w:val="003B4726"/>
    <w:rsid w:val="003B4997"/>
    <w:rsid w:val="003B4DD2"/>
    <w:rsid w:val="003B60CC"/>
    <w:rsid w:val="003B6194"/>
    <w:rsid w:val="003B6FD4"/>
    <w:rsid w:val="003B7BC1"/>
    <w:rsid w:val="003B7F01"/>
    <w:rsid w:val="003C1FAD"/>
    <w:rsid w:val="003C20FD"/>
    <w:rsid w:val="003C2F16"/>
    <w:rsid w:val="003C5234"/>
    <w:rsid w:val="003C553F"/>
    <w:rsid w:val="003C567C"/>
    <w:rsid w:val="003C5810"/>
    <w:rsid w:val="003D173E"/>
    <w:rsid w:val="003D2C56"/>
    <w:rsid w:val="003D366A"/>
    <w:rsid w:val="003D3FE8"/>
    <w:rsid w:val="003D441B"/>
    <w:rsid w:val="003D6163"/>
    <w:rsid w:val="003D6FFD"/>
    <w:rsid w:val="003D755A"/>
    <w:rsid w:val="003E1036"/>
    <w:rsid w:val="003E16AE"/>
    <w:rsid w:val="003E2A63"/>
    <w:rsid w:val="003E30DE"/>
    <w:rsid w:val="003E384A"/>
    <w:rsid w:val="003E4ABD"/>
    <w:rsid w:val="003E55EA"/>
    <w:rsid w:val="003E57DE"/>
    <w:rsid w:val="003F0DD1"/>
    <w:rsid w:val="003F144D"/>
    <w:rsid w:val="003F16C9"/>
    <w:rsid w:val="003F42FB"/>
    <w:rsid w:val="003F58A1"/>
    <w:rsid w:val="003F6831"/>
    <w:rsid w:val="003F73C3"/>
    <w:rsid w:val="00402BD9"/>
    <w:rsid w:val="00404FE2"/>
    <w:rsid w:val="004063C8"/>
    <w:rsid w:val="00406472"/>
    <w:rsid w:val="00406B09"/>
    <w:rsid w:val="004077F5"/>
    <w:rsid w:val="00407DD0"/>
    <w:rsid w:val="00412347"/>
    <w:rsid w:val="00412670"/>
    <w:rsid w:val="00412F45"/>
    <w:rsid w:val="00412FE4"/>
    <w:rsid w:val="0041369D"/>
    <w:rsid w:val="0041712C"/>
    <w:rsid w:val="004173A7"/>
    <w:rsid w:val="004178D8"/>
    <w:rsid w:val="00417BEB"/>
    <w:rsid w:val="004218C5"/>
    <w:rsid w:val="0042380C"/>
    <w:rsid w:val="004239E5"/>
    <w:rsid w:val="0042446D"/>
    <w:rsid w:val="004246CB"/>
    <w:rsid w:val="004247B8"/>
    <w:rsid w:val="00424865"/>
    <w:rsid w:val="00425369"/>
    <w:rsid w:val="00425738"/>
    <w:rsid w:val="00425774"/>
    <w:rsid w:val="00425FB8"/>
    <w:rsid w:val="00431061"/>
    <w:rsid w:val="004345AE"/>
    <w:rsid w:val="0043567E"/>
    <w:rsid w:val="0043589A"/>
    <w:rsid w:val="00435996"/>
    <w:rsid w:val="004372CE"/>
    <w:rsid w:val="00437FD8"/>
    <w:rsid w:val="00440CFB"/>
    <w:rsid w:val="0044143D"/>
    <w:rsid w:val="00441DAA"/>
    <w:rsid w:val="004441B5"/>
    <w:rsid w:val="00444D01"/>
    <w:rsid w:val="00445A6E"/>
    <w:rsid w:val="00445BC2"/>
    <w:rsid w:val="00446479"/>
    <w:rsid w:val="004473A8"/>
    <w:rsid w:val="004503EB"/>
    <w:rsid w:val="00450F23"/>
    <w:rsid w:val="004515A1"/>
    <w:rsid w:val="00452F34"/>
    <w:rsid w:val="00454AFA"/>
    <w:rsid w:val="00455983"/>
    <w:rsid w:val="00455E03"/>
    <w:rsid w:val="00456BBA"/>
    <w:rsid w:val="00457D10"/>
    <w:rsid w:val="004603AA"/>
    <w:rsid w:val="004615E0"/>
    <w:rsid w:val="00461DDC"/>
    <w:rsid w:val="00462CB8"/>
    <w:rsid w:val="004644BA"/>
    <w:rsid w:val="00465618"/>
    <w:rsid w:val="00465BB6"/>
    <w:rsid w:val="00465E81"/>
    <w:rsid w:val="00466809"/>
    <w:rsid w:val="00466FC5"/>
    <w:rsid w:val="0047156E"/>
    <w:rsid w:val="0047166A"/>
    <w:rsid w:val="00471FA7"/>
    <w:rsid w:val="004729F8"/>
    <w:rsid w:val="00473DAB"/>
    <w:rsid w:val="00473F6A"/>
    <w:rsid w:val="004751EC"/>
    <w:rsid w:val="004771B7"/>
    <w:rsid w:val="004775B1"/>
    <w:rsid w:val="00477839"/>
    <w:rsid w:val="00482F02"/>
    <w:rsid w:val="00483146"/>
    <w:rsid w:val="00484C3A"/>
    <w:rsid w:val="00485022"/>
    <w:rsid w:val="00485603"/>
    <w:rsid w:val="004861C9"/>
    <w:rsid w:val="00486E49"/>
    <w:rsid w:val="00487054"/>
    <w:rsid w:val="00487639"/>
    <w:rsid w:val="004876F7"/>
    <w:rsid w:val="004877B8"/>
    <w:rsid w:val="00490242"/>
    <w:rsid w:val="0049058E"/>
    <w:rsid w:val="00490E40"/>
    <w:rsid w:val="00491BB7"/>
    <w:rsid w:val="00491CE9"/>
    <w:rsid w:val="00492A61"/>
    <w:rsid w:val="004930EE"/>
    <w:rsid w:val="0049338E"/>
    <w:rsid w:val="0049490B"/>
    <w:rsid w:val="00494CE4"/>
    <w:rsid w:val="004960C5"/>
    <w:rsid w:val="0049658B"/>
    <w:rsid w:val="0049773E"/>
    <w:rsid w:val="004A04A1"/>
    <w:rsid w:val="004A0767"/>
    <w:rsid w:val="004A18AB"/>
    <w:rsid w:val="004A3A71"/>
    <w:rsid w:val="004A48BD"/>
    <w:rsid w:val="004A66EB"/>
    <w:rsid w:val="004A70CA"/>
    <w:rsid w:val="004A7898"/>
    <w:rsid w:val="004B08E1"/>
    <w:rsid w:val="004B2A91"/>
    <w:rsid w:val="004B3107"/>
    <w:rsid w:val="004B40D4"/>
    <w:rsid w:val="004B41A1"/>
    <w:rsid w:val="004B4CC5"/>
    <w:rsid w:val="004B508F"/>
    <w:rsid w:val="004B52E3"/>
    <w:rsid w:val="004C080D"/>
    <w:rsid w:val="004C13CC"/>
    <w:rsid w:val="004C1E0B"/>
    <w:rsid w:val="004C3D1B"/>
    <w:rsid w:val="004C3DCC"/>
    <w:rsid w:val="004C41A9"/>
    <w:rsid w:val="004C4EAB"/>
    <w:rsid w:val="004C51BA"/>
    <w:rsid w:val="004C5548"/>
    <w:rsid w:val="004C5872"/>
    <w:rsid w:val="004C6E75"/>
    <w:rsid w:val="004D22B0"/>
    <w:rsid w:val="004D262C"/>
    <w:rsid w:val="004D3B2D"/>
    <w:rsid w:val="004D5264"/>
    <w:rsid w:val="004D6E3C"/>
    <w:rsid w:val="004D76C5"/>
    <w:rsid w:val="004D7885"/>
    <w:rsid w:val="004E231D"/>
    <w:rsid w:val="004E5670"/>
    <w:rsid w:val="004E5D6D"/>
    <w:rsid w:val="004E63DB"/>
    <w:rsid w:val="004E648E"/>
    <w:rsid w:val="004E64AA"/>
    <w:rsid w:val="004F0AB1"/>
    <w:rsid w:val="004F0ED7"/>
    <w:rsid w:val="004F24D8"/>
    <w:rsid w:val="004F2BFD"/>
    <w:rsid w:val="004F310A"/>
    <w:rsid w:val="004F3386"/>
    <w:rsid w:val="004F3C5A"/>
    <w:rsid w:val="004F3D3E"/>
    <w:rsid w:val="004F48F4"/>
    <w:rsid w:val="004F64FB"/>
    <w:rsid w:val="004F69CF"/>
    <w:rsid w:val="00501CC3"/>
    <w:rsid w:val="00501F7A"/>
    <w:rsid w:val="00503B0B"/>
    <w:rsid w:val="00504392"/>
    <w:rsid w:val="00504712"/>
    <w:rsid w:val="00504D3D"/>
    <w:rsid w:val="0050626A"/>
    <w:rsid w:val="00507726"/>
    <w:rsid w:val="0051011E"/>
    <w:rsid w:val="00510475"/>
    <w:rsid w:val="00510850"/>
    <w:rsid w:val="00512156"/>
    <w:rsid w:val="0051378F"/>
    <w:rsid w:val="0051435A"/>
    <w:rsid w:val="005144F4"/>
    <w:rsid w:val="00514F49"/>
    <w:rsid w:val="005156C8"/>
    <w:rsid w:val="005157B3"/>
    <w:rsid w:val="00515A1A"/>
    <w:rsid w:val="00515BCB"/>
    <w:rsid w:val="005169EB"/>
    <w:rsid w:val="00516C9E"/>
    <w:rsid w:val="00517254"/>
    <w:rsid w:val="0051798F"/>
    <w:rsid w:val="005211F2"/>
    <w:rsid w:val="00521663"/>
    <w:rsid w:val="005236E7"/>
    <w:rsid w:val="005239EC"/>
    <w:rsid w:val="00523E6D"/>
    <w:rsid w:val="005241CE"/>
    <w:rsid w:val="00524F6A"/>
    <w:rsid w:val="005250F8"/>
    <w:rsid w:val="00525595"/>
    <w:rsid w:val="00525EAD"/>
    <w:rsid w:val="0052689D"/>
    <w:rsid w:val="00527AE1"/>
    <w:rsid w:val="0053137E"/>
    <w:rsid w:val="00531836"/>
    <w:rsid w:val="0053193E"/>
    <w:rsid w:val="00532DA1"/>
    <w:rsid w:val="00532E8C"/>
    <w:rsid w:val="00537278"/>
    <w:rsid w:val="00537819"/>
    <w:rsid w:val="00537CC4"/>
    <w:rsid w:val="00537D57"/>
    <w:rsid w:val="0054020D"/>
    <w:rsid w:val="00541BC8"/>
    <w:rsid w:val="00541C39"/>
    <w:rsid w:val="00542D5C"/>
    <w:rsid w:val="00542E10"/>
    <w:rsid w:val="00543246"/>
    <w:rsid w:val="00543604"/>
    <w:rsid w:val="00543CD3"/>
    <w:rsid w:val="00544963"/>
    <w:rsid w:val="0054654B"/>
    <w:rsid w:val="00547B11"/>
    <w:rsid w:val="00550F1C"/>
    <w:rsid w:val="005515A4"/>
    <w:rsid w:val="005523A3"/>
    <w:rsid w:val="00552C76"/>
    <w:rsid w:val="00552D62"/>
    <w:rsid w:val="00553435"/>
    <w:rsid w:val="005544D9"/>
    <w:rsid w:val="00555267"/>
    <w:rsid w:val="00555E8D"/>
    <w:rsid w:val="005565C8"/>
    <w:rsid w:val="00556ACD"/>
    <w:rsid w:val="005616C0"/>
    <w:rsid w:val="00561D2A"/>
    <w:rsid w:val="00562AE3"/>
    <w:rsid w:val="00563242"/>
    <w:rsid w:val="00563416"/>
    <w:rsid w:val="00563AAB"/>
    <w:rsid w:val="0056407C"/>
    <w:rsid w:val="00564D00"/>
    <w:rsid w:val="00565321"/>
    <w:rsid w:val="005654FB"/>
    <w:rsid w:val="0056584D"/>
    <w:rsid w:val="0056691D"/>
    <w:rsid w:val="005708CD"/>
    <w:rsid w:val="0057188D"/>
    <w:rsid w:val="00571C8E"/>
    <w:rsid w:val="00572563"/>
    <w:rsid w:val="00572BB9"/>
    <w:rsid w:val="005737CB"/>
    <w:rsid w:val="00574D79"/>
    <w:rsid w:val="00576B9C"/>
    <w:rsid w:val="00577FD9"/>
    <w:rsid w:val="0058164A"/>
    <w:rsid w:val="00581652"/>
    <w:rsid w:val="0058218C"/>
    <w:rsid w:val="005824EB"/>
    <w:rsid w:val="00583668"/>
    <w:rsid w:val="0058375F"/>
    <w:rsid w:val="00584B47"/>
    <w:rsid w:val="0058606E"/>
    <w:rsid w:val="00587815"/>
    <w:rsid w:val="00590C0E"/>
    <w:rsid w:val="00592C08"/>
    <w:rsid w:val="005930BC"/>
    <w:rsid w:val="005939D8"/>
    <w:rsid w:val="00593DBB"/>
    <w:rsid w:val="005953A8"/>
    <w:rsid w:val="00595C46"/>
    <w:rsid w:val="00595D82"/>
    <w:rsid w:val="005A1206"/>
    <w:rsid w:val="005A25C8"/>
    <w:rsid w:val="005A275B"/>
    <w:rsid w:val="005A2920"/>
    <w:rsid w:val="005A29B3"/>
    <w:rsid w:val="005A2D1F"/>
    <w:rsid w:val="005A3C25"/>
    <w:rsid w:val="005A448B"/>
    <w:rsid w:val="005A4F39"/>
    <w:rsid w:val="005A60BE"/>
    <w:rsid w:val="005A682B"/>
    <w:rsid w:val="005A78D1"/>
    <w:rsid w:val="005B010E"/>
    <w:rsid w:val="005B08CB"/>
    <w:rsid w:val="005B1617"/>
    <w:rsid w:val="005B2139"/>
    <w:rsid w:val="005B4ABE"/>
    <w:rsid w:val="005B59DD"/>
    <w:rsid w:val="005B5A9B"/>
    <w:rsid w:val="005B5E11"/>
    <w:rsid w:val="005B6AFE"/>
    <w:rsid w:val="005B7842"/>
    <w:rsid w:val="005B7865"/>
    <w:rsid w:val="005C0858"/>
    <w:rsid w:val="005C26BD"/>
    <w:rsid w:val="005C2CCA"/>
    <w:rsid w:val="005C3DB3"/>
    <w:rsid w:val="005C4F61"/>
    <w:rsid w:val="005C63D9"/>
    <w:rsid w:val="005C697B"/>
    <w:rsid w:val="005C7A09"/>
    <w:rsid w:val="005D0041"/>
    <w:rsid w:val="005D05B7"/>
    <w:rsid w:val="005D10F1"/>
    <w:rsid w:val="005D1D1A"/>
    <w:rsid w:val="005D239F"/>
    <w:rsid w:val="005D2DDB"/>
    <w:rsid w:val="005D2F3B"/>
    <w:rsid w:val="005D3467"/>
    <w:rsid w:val="005D3CC9"/>
    <w:rsid w:val="005D46B7"/>
    <w:rsid w:val="005D527B"/>
    <w:rsid w:val="005D54CC"/>
    <w:rsid w:val="005D6606"/>
    <w:rsid w:val="005D6A9A"/>
    <w:rsid w:val="005D71CD"/>
    <w:rsid w:val="005D7C3F"/>
    <w:rsid w:val="005E014B"/>
    <w:rsid w:val="005E243F"/>
    <w:rsid w:val="005E27BB"/>
    <w:rsid w:val="005E2F7F"/>
    <w:rsid w:val="005E39A2"/>
    <w:rsid w:val="005E3F51"/>
    <w:rsid w:val="005E46B5"/>
    <w:rsid w:val="005E4A28"/>
    <w:rsid w:val="005E6727"/>
    <w:rsid w:val="005E7DEB"/>
    <w:rsid w:val="005F0EA0"/>
    <w:rsid w:val="005F1A39"/>
    <w:rsid w:val="005F3422"/>
    <w:rsid w:val="005F4D88"/>
    <w:rsid w:val="005F5A3E"/>
    <w:rsid w:val="005F6398"/>
    <w:rsid w:val="005F7D09"/>
    <w:rsid w:val="0060081E"/>
    <w:rsid w:val="00600F6E"/>
    <w:rsid w:val="0060236A"/>
    <w:rsid w:val="00602916"/>
    <w:rsid w:val="00602A78"/>
    <w:rsid w:val="006032FC"/>
    <w:rsid w:val="0060506F"/>
    <w:rsid w:val="006072A3"/>
    <w:rsid w:val="00607920"/>
    <w:rsid w:val="00607F6C"/>
    <w:rsid w:val="00607FA2"/>
    <w:rsid w:val="00611C05"/>
    <w:rsid w:val="00611E9D"/>
    <w:rsid w:val="0061284A"/>
    <w:rsid w:val="00612A75"/>
    <w:rsid w:val="00612ED4"/>
    <w:rsid w:val="0061530C"/>
    <w:rsid w:val="00615378"/>
    <w:rsid w:val="0061606D"/>
    <w:rsid w:val="00616B1C"/>
    <w:rsid w:val="00620C36"/>
    <w:rsid w:val="00620EBF"/>
    <w:rsid w:val="00620FA4"/>
    <w:rsid w:val="00622284"/>
    <w:rsid w:val="00623280"/>
    <w:rsid w:val="006236E2"/>
    <w:rsid w:val="00623B8A"/>
    <w:rsid w:val="00623F84"/>
    <w:rsid w:val="00624D5B"/>
    <w:rsid w:val="00625989"/>
    <w:rsid w:val="00630C8B"/>
    <w:rsid w:val="00633359"/>
    <w:rsid w:val="00633890"/>
    <w:rsid w:val="006338E9"/>
    <w:rsid w:val="00633C07"/>
    <w:rsid w:val="00633E8B"/>
    <w:rsid w:val="00635697"/>
    <w:rsid w:val="006401E1"/>
    <w:rsid w:val="006404A4"/>
    <w:rsid w:val="0064144D"/>
    <w:rsid w:val="00642EF7"/>
    <w:rsid w:val="006433DF"/>
    <w:rsid w:val="006437A8"/>
    <w:rsid w:val="00643998"/>
    <w:rsid w:val="00643E77"/>
    <w:rsid w:val="006440AF"/>
    <w:rsid w:val="0064445A"/>
    <w:rsid w:val="00645C0D"/>
    <w:rsid w:val="00645D9B"/>
    <w:rsid w:val="0064669F"/>
    <w:rsid w:val="00647F43"/>
    <w:rsid w:val="00650890"/>
    <w:rsid w:val="006545FF"/>
    <w:rsid w:val="00655B0B"/>
    <w:rsid w:val="00656980"/>
    <w:rsid w:val="00657194"/>
    <w:rsid w:val="006579EE"/>
    <w:rsid w:val="006616B0"/>
    <w:rsid w:val="006628E5"/>
    <w:rsid w:val="00663634"/>
    <w:rsid w:val="00663CC9"/>
    <w:rsid w:val="006656CF"/>
    <w:rsid w:val="0066573F"/>
    <w:rsid w:val="00666EEA"/>
    <w:rsid w:val="006677AE"/>
    <w:rsid w:val="00667C5B"/>
    <w:rsid w:val="006701AE"/>
    <w:rsid w:val="00670322"/>
    <w:rsid w:val="00671D37"/>
    <w:rsid w:val="00672519"/>
    <w:rsid w:val="00675F41"/>
    <w:rsid w:val="006771BD"/>
    <w:rsid w:val="00677610"/>
    <w:rsid w:val="00680AB8"/>
    <w:rsid w:val="00680EC9"/>
    <w:rsid w:val="00682C64"/>
    <w:rsid w:val="00683F61"/>
    <w:rsid w:val="00684F01"/>
    <w:rsid w:val="00685F2B"/>
    <w:rsid w:val="00687421"/>
    <w:rsid w:val="00687B6E"/>
    <w:rsid w:val="00690211"/>
    <w:rsid w:val="006903FD"/>
    <w:rsid w:val="00690D18"/>
    <w:rsid w:val="00692C1A"/>
    <w:rsid w:val="00693150"/>
    <w:rsid w:val="00693464"/>
    <w:rsid w:val="00694BD5"/>
    <w:rsid w:val="00694C93"/>
    <w:rsid w:val="00696038"/>
    <w:rsid w:val="00696352"/>
    <w:rsid w:val="00697133"/>
    <w:rsid w:val="006A153A"/>
    <w:rsid w:val="006A2CEA"/>
    <w:rsid w:val="006A35F4"/>
    <w:rsid w:val="006A3EEB"/>
    <w:rsid w:val="006A487A"/>
    <w:rsid w:val="006A5B7B"/>
    <w:rsid w:val="006A616F"/>
    <w:rsid w:val="006B0358"/>
    <w:rsid w:val="006B0974"/>
    <w:rsid w:val="006B1760"/>
    <w:rsid w:val="006B25AF"/>
    <w:rsid w:val="006B28EC"/>
    <w:rsid w:val="006B4331"/>
    <w:rsid w:val="006B67B7"/>
    <w:rsid w:val="006B6ABC"/>
    <w:rsid w:val="006B7729"/>
    <w:rsid w:val="006C2101"/>
    <w:rsid w:val="006C224C"/>
    <w:rsid w:val="006C45BD"/>
    <w:rsid w:val="006C539A"/>
    <w:rsid w:val="006C5A6C"/>
    <w:rsid w:val="006C5A88"/>
    <w:rsid w:val="006C6642"/>
    <w:rsid w:val="006C6FDF"/>
    <w:rsid w:val="006C784C"/>
    <w:rsid w:val="006C7EBC"/>
    <w:rsid w:val="006D08FE"/>
    <w:rsid w:val="006D0B7E"/>
    <w:rsid w:val="006D423E"/>
    <w:rsid w:val="006D772D"/>
    <w:rsid w:val="006D7D4E"/>
    <w:rsid w:val="006D7F60"/>
    <w:rsid w:val="006E2810"/>
    <w:rsid w:val="006E2BA2"/>
    <w:rsid w:val="006E67C4"/>
    <w:rsid w:val="006E70E3"/>
    <w:rsid w:val="006E7A6F"/>
    <w:rsid w:val="006F026D"/>
    <w:rsid w:val="006F25E1"/>
    <w:rsid w:val="006F41B5"/>
    <w:rsid w:val="006F498B"/>
    <w:rsid w:val="006F54B8"/>
    <w:rsid w:val="006F56EE"/>
    <w:rsid w:val="006F5706"/>
    <w:rsid w:val="006F5D7A"/>
    <w:rsid w:val="006F601C"/>
    <w:rsid w:val="006F654B"/>
    <w:rsid w:val="006F672C"/>
    <w:rsid w:val="00700326"/>
    <w:rsid w:val="00702039"/>
    <w:rsid w:val="00702F6D"/>
    <w:rsid w:val="00703ADF"/>
    <w:rsid w:val="00704FBC"/>
    <w:rsid w:val="007069E0"/>
    <w:rsid w:val="00710CE5"/>
    <w:rsid w:val="00711462"/>
    <w:rsid w:val="00712700"/>
    <w:rsid w:val="007128D0"/>
    <w:rsid w:val="007141F5"/>
    <w:rsid w:val="007142FB"/>
    <w:rsid w:val="00715E1F"/>
    <w:rsid w:val="00716B6C"/>
    <w:rsid w:val="00716C43"/>
    <w:rsid w:val="00717B6A"/>
    <w:rsid w:val="00720056"/>
    <w:rsid w:val="00722134"/>
    <w:rsid w:val="0072442B"/>
    <w:rsid w:val="0072581A"/>
    <w:rsid w:val="0072644E"/>
    <w:rsid w:val="00727A97"/>
    <w:rsid w:val="0073002C"/>
    <w:rsid w:val="00730C41"/>
    <w:rsid w:val="007318FD"/>
    <w:rsid w:val="0073196E"/>
    <w:rsid w:val="00731B79"/>
    <w:rsid w:val="00732A02"/>
    <w:rsid w:val="00732C4C"/>
    <w:rsid w:val="00734236"/>
    <w:rsid w:val="0073459F"/>
    <w:rsid w:val="00734787"/>
    <w:rsid w:val="007375AC"/>
    <w:rsid w:val="007400B3"/>
    <w:rsid w:val="00740533"/>
    <w:rsid w:val="00740B48"/>
    <w:rsid w:val="00742864"/>
    <w:rsid w:val="00742FA6"/>
    <w:rsid w:val="007440F2"/>
    <w:rsid w:val="00744737"/>
    <w:rsid w:val="00745EDC"/>
    <w:rsid w:val="00746122"/>
    <w:rsid w:val="00747600"/>
    <w:rsid w:val="00750283"/>
    <w:rsid w:val="00750948"/>
    <w:rsid w:val="007515A7"/>
    <w:rsid w:val="00752B2F"/>
    <w:rsid w:val="00752FC5"/>
    <w:rsid w:val="007531CA"/>
    <w:rsid w:val="00753F3F"/>
    <w:rsid w:val="00756128"/>
    <w:rsid w:val="00761269"/>
    <w:rsid w:val="0076216F"/>
    <w:rsid w:val="00763B6D"/>
    <w:rsid w:val="0076609E"/>
    <w:rsid w:val="007670B0"/>
    <w:rsid w:val="00767276"/>
    <w:rsid w:val="00767507"/>
    <w:rsid w:val="0077118E"/>
    <w:rsid w:val="00773DD6"/>
    <w:rsid w:val="00773F3E"/>
    <w:rsid w:val="00774576"/>
    <w:rsid w:val="0077499A"/>
    <w:rsid w:val="007777D1"/>
    <w:rsid w:val="00780179"/>
    <w:rsid w:val="007806F7"/>
    <w:rsid w:val="00780975"/>
    <w:rsid w:val="007812FE"/>
    <w:rsid w:val="007815D5"/>
    <w:rsid w:val="007833E7"/>
    <w:rsid w:val="00783409"/>
    <w:rsid w:val="00784A82"/>
    <w:rsid w:val="00785994"/>
    <w:rsid w:val="0079195D"/>
    <w:rsid w:val="0079224C"/>
    <w:rsid w:val="00792BF4"/>
    <w:rsid w:val="00792C2A"/>
    <w:rsid w:val="00793289"/>
    <w:rsid w:val="0079410B"/>
    <w:rsid w:val="00797451"/>
    <w:rsid w:val="007A0482"/>
    <w:rsid w:val="007A050E"/>
    <w:rsid w:val="007A0DEB"/>
    <w:rsid w:val="007A0DF2"/>
    <w:rsid w:val="007A178D"/>
    <w:rsid w:val="007A220F"/>
    <w:rsid w:val="007A2DC7"/>
    <w:rsid w:val="007A3E3D"/>
    <w:rsid w:val="007A6FD4"/>
    <w:rsid w:val="007A7AFF"/>
    <w:rsid w:val="007A7FD9"/>
    <w:rsid w:val="007B254D"/>
    <w:rsid w:val="007B37EE"/>
    <w:rsid w:val="007B3985"/>
    <w:rsid w:val="007B7809"/>
    <w:rsid w:val="007C083A"/>
    <w:rsid w:val="007C35BD"/>
    <w:rsid w:val="007C45DA"/>
    <w:rsid w:val="007C46DE"/>
    <w:rsid w:val="007C4A2C"/>
    <w:rsid w:val="007C4DDC"/>
    <w:rsid w:val="007C4E71"/>
    <w:rsid w:val="007C4EA0"/>
    <w:rsid w:val="007C5377"/>
    <w:rsid w:val="007C5502"/>
    <w:rsid w:val="007C5FBE"/>
    <w:rsid w:val="007D16FE"/>
    <w:rsid w:val="007D26E6"/>
    <w:rsid w:val="007D2961"/>
    <w:rsid w:val="007D2E67"/>
    <w:rsid w:val="007D3D98"/>
    <w:rsid w:val="007D4B7A"/>
    <w:rsid w:val="007D598A"/>
    <w:rsid w:val="007D677D"/>
    <w:rsid w:val="007E050A"/>
    <w:rsid w:val="007E21C5"/>
    <w:rsid w:val="007E3D29"/>
    <w:rsid w:val="007E4609"/>
    <w:rsid w:val="007E65A4"/>
    <w:rsid w:val="007E7230"/>
    <w:rsid w:val="007E7515"/>
    <w:rsid w:val="007F10AD"/>
    <w:rsid w:val="007F1E31"/>
    <w:rsid w:val="007F28B1"/>
    <w:rsid w:val="007F2B02"/>
    <w:rsid w:val="007F2B6C"/>
    <w:rsid w:val="007F2BFC"/>
    <w:rsid w:val="007F385E"/>
    <w:rsid w:val="007F4122"/>
    <w:rsid w:val="007F4473"/>
    <w:rsid w:val="007F62A9"/>
    <w:rsid w:val="007F77BB"/>
    <w:rsid w:val="008014E6"/>
    <w:rsid w:val="00801B37"/>
    <w:rsid w:val="0080241E"/>
    <w:rsid w:val="0080320B"/>
    <w:rsid w:val="008034AA"/>
    <w:rsid w:val="008058E1"/>
    <w:rsid w:val="00807D2B"/>
    <w:rsid w:val="00810A3D"/>
    <w:rsid w:val="00810C1A"/>
    <w:rsid w:val="00810C56"/>
    <w:rsid w:val="008118B7"/>
    <w:rsid w:val="0081190E"/>
    <w:rsid w:val="008120B2"/>
    <w:rsid w:val="00813C7E"/>
    <w:rsid w:val="00813CDD"/>
    <w:rsid w:val="00813ED0"/>
    <w:rsid w:val="0081422B"/>
    <w:rsid w:val="00814E1E"/>
    <w:rsid w:val="00816247"/>
    <w:rsid w:val="00816873"/>
    <w:rsid w:val="0081779B"/>
    <w:rsid w:val="00820AC4"/>
    <w:rsid w:val="00822B9A"/>
    <w:rsid w:val="00823050"/>
    <w:rsid w:val="00824A4B"/>
    <w:rsid w:val="00825017"/>
    <w:rsid w:val="008269E0"/>
    <w:rsid w:val="00827810"/>
    <w:rsid w:val="008303FE"/>
    <w:rsid w:val="00830550"/>
    <w:rsid w:val="00831866"/>
    <w:rsid w:val="00833BD5"/>
    <w:rsid w:val="00833C03"/>
    <w:rsid w:val="00835EF9"/>
    <w:rsid w:val="00836397"/>
    <w:rsid w:val="00837DF0"/>
    <w:rsid w:val="0084165A"/>
    <w:rsid w:val="00842E44"/>
    <w:rsid w:val="00843113"/>
    <w:rsid w:val="008432FF"/>
    <w:rsid w:val="008434C7"/>
    <w:rsid w:val="008454A6"/>
    <w:rsid w:val="00846AC9"/>
    <w:rsid w:val="00846BBD"/>
    <w:rsid w:val="00847207"/>
    <w:rsid w:val="00847A3F"/>
    <w:rsid w:val="00847BD8"/>
    <w:rsid w:val="008509AE"/>
    <w:rsid w:val="00852520"/>
    <w:rsid w:val="00853153"/>
    <w:rsid w:val="008541B1"/>
    <w:rsid w:val="008561EC"/>
    <w:rsid w:val="00856415"/>
    <w:rsid w:val="008564A8"/>
    <w:rsid w:val="00856808"/>
    <w:rsid w:val="00856BE4"/>
    <w:rsid w:val="0085774F"/>
    <w:rsid w:val="00857F5B"/>
    <w:rsid w:val="00860CBC"/>
    <w:rsid w:val="008610B3"/>
    <w:rsid w:val="00862142"/>
    <w:rsid w:val="008621ED"/>
    <w:rsid w:val="00863C2A"/>
    <w:rsid w:val="008652FD"/>
    <w:rsid w:val="00866794"/>
    <w:rsid w:val="00867493"/>
    <w:rsid w:val="00871F70"/>
    <w:rsid w:val="0087326C"/>
    <w:rsid w:val="008745CD"/>
    <w:rsid w:val="00876028"/>
    <w:rsid w:val="00876428"/>
    <w:rsid w:val="00876795"/>
    <w:rsid w:val="00881290"/>
    <w:rsid w:val="00881AA6"/>
    <w:rsid w:val="00883326"/>
    <w:rsid w:val="0088361E"/>
    <w:rsid w:val="008837CA"/>
    <w:rsid w:val="00884013"/>
    <w:rsid w:val="008847F1"/>
    <w:rsid w:val="00885AA7"/>
    <w:rsid w:val="008861D3"/>
    <w:rsid w:val="00887208"/>
    <w:rsid w:val="0088759E"/>
    <w:rsid w:val="00890088"/>
    <w:rsid w:val="008903B0"/>
    <w:rsid w:val="00890914"/>
    <w:rsid w:val="00890FB7"/>
    <w:rsid w:val="008940B5"/>
    <w:rsid w:val="008958F5"/>
    <w:rsid w:val="00896AA4"/>
    <w:rsid w:val="00896F39"/>
    <w:rsid w:val="00897356"/>
    <w:rsid w:val="00897B7E"/>
    <w:rsid w:val="008A1195"/>
    <w:rsid w:val="008A18E6"/>
    <w:rsid w:val="008A36B4"/>
    <w:rsid w:val="008A3E6D"/>
    <w:rsid w:val="008A4552"/>
    <w:rsid w:val="008A4716"/>
    <w:rsid w:val="008A58E1"/>
    <w:rsid w:val="008A6141"/>
    <w:rsid w:val="008A6171"/>
    <w:rsid w:val="008A6385"/>
    <w:rsid w:val="008A70AB"/>
    <w:rsid w:val="008A72C9"/>
    <w:rsid w:val="008A73C1"/>
    <w:rsid w:val="008B0BB8"/>
    <w:rsid w:val="008B3C2E"/>
    <w:rsid w:val="008B3C6D"/>
    <w:rsid w:val="008B4B71"/>
    <w:rsid w:val="008B5CBD"/>
    <w:rsid w:val="008B6CE8"/>
    <w:rsid w:val="008B6FAB"/>
    <w:rsid w:val="008B7244"/>
    <w:rsid w:val="008C1A31"/>
    <w:rsid w:val="008C1B45"/>
    <w:rsid w:val="008C1D26"/>
    <w:rsid w:val="008C2386"/>
    <w:rsid w:val="008C33CC"/>
    <w:rsid w:val="008C4633"/>
    <w:rsid w:val="008C4A6E"/>
    <w:rsid w:val="008C502E"/>
    <w:rsid w:val="008C7F03"/>
    <w:rsid w:val="008D0DEF"/>
    <w:rsid w:val="008D0FCA"/>
    <w:rsid w:val="008D20DD"/>
    <w:rsid w:val="008D2964"/>
    <w:rsid w:val="008D477B"/>
    <w:rsid w:val="008D49B4"/>
    <w:rsid w:val="008D6ED9"/>
    <w:rsid w:val="008D7185"/>
    <w:rsid w:val="008D77DE"/>
    <w:rsid w:val="008E0A2C"/>
    <w:rsid w:val="008E2643"/>
    <w:rsid w:val="008E2D25"/>
    <w:rsid w:val="008E34C0"/>
    <w:rsid w:val="008E448B"/>
    <w:rsid w:val="008E51B2"/>
    <w:rsid w:val="008E5714"/>
    <w:rsid w:val="008E5B2C"/>
    <w:rsid w:val="008E5BEB"/>
    <w:rsid w:val="008E65F7"/>
    <w:rsid w:val="008E6846"/>
    <w:rsid w:val="008E7424"/>
    <w:rsid w:val="008E771C"/>
    <w:rsid w:val="008F0B15"/>
    <w:rsid w:val="008F2D08"/>
    <w:rsid w:val="008F4521"/>
    <w:rsid w:val="008F6BB4"/>
    <w:rsid w:val="008F721B"/>
    <w:rsid w:val="00900755"/>
    <w:rsid w:val="00901A13"/>
    <w:rsid w:val="00901A3D"/>
    <w:rsid w:val="009022AC"/>
    <w:rsid w:val="0090233F"/>
    <w:rsid w:val="0090542B"/>
    <w:rsid w:val="00906FD9"/>
    <w:rsid w:val="009106AF"/>
    <w:rsid w:val="0091176C"/>
    <w:rsid w:val="0091195E"/>
    <w:rsid w:val="00911D71"/>
    <w:rsid w:val="00912176"/>
    <w:rsid w:val="0091261F"/>
    <w:rsid w:val="00912869"/>
    <w:rsid w:val="00912F50"/>
    <w:rsid w:val="00913272"/>
    <w:rsid w:val="00913AAB"/>
    <w:rsid w:val="00914D83"/>
    <w:rsid w:val="0091540E"/>
    <w:rsid w:val="009170C4"/>
    <w:rsid w:val="0091720E"/>
    <w:rsid w:val="0091743E"/>
    <w:rsid w:val="00917F48"/>
    <w:rsid w:val="00920A51"/>
    <w:rsid w:val="00920E94"/>
    <w:rsid w:val="009210AD"/>
    <w:rsid w:val="00921E94"/>
    <w:rsid w:val="00923467"/>
    <w:rsid w:val="0092386F"/>
    <w:rsid w:val="00923C0A"/>
    <w:rsid w:val="00923D64"/>
    <w:rsid w:val="00925EAE"/>
    <w:rsid w:val="00925F3A"/>
    <w:rsid w:val="00926171"/>
    <w:rsid w:val="009264B0"/>
    <w:rsid w:val="00926609"/>
    <w:rsid w:val="00927322"/>
    <w:rsid w:val="00932C39"/>
    <w:rsid w:val="00933564"/>
    <w:rsid w:val="00933728"/>
    <w:rsid w:val="009347F6"/>
    <w:rsid w:val="00934C8C"/>
    <w:rsid w:val="00936E78"/>
    <w:rsid w:val="009379F6"/>
    <w:rsid w:val="009402E1"/>
    <w:rsid w:val="00940AB9"/>
    <w:rsid w:val="00940AD9"/>
    <w:rsid w:val="00940F9B"/>
    <w:rsid w:val="00941328"/>
    <w:rsid w:val="009415D1"/>
    <w:rsid w:val="00941847"/>
    <w:rsid w:val="00942884"/>
    <w:rsid w:val="00942E3D"/>
    <w:rsid w:val="009450F2"/>
    <w:rsid w:val="009454B9"/>
    <w:rsid w:val="0094555F"/>
    <w:rsid w:val="009455C5"/>
    <w:rsid w:val="00945953"/>
    <w:rsid w:val="00950D0E"/>
    <w:rsid w:val="00951538"/>
    <w:rsid w:val="0095237C"/>
    <w:rsid w:val="00953F4B"/>
    <w:rsid w:val="009542DA"/>
    <w:rsid w:val="009570BF"/>
    <w:rsid w:val="0095756C"/>
    <w:rsid w:val="00957801"/>
    <w:rsid w:val="00957923"/>
    <w:rsid w:val="0096031D"/>
    <w:rsid w:val="00960658"/>
    <w:rsid w:val="00960DD6"/>
    <w:rsid w:val="009614CE"/>
    <w:rsid w:val="009622BE"/>
    <w:rsid w:val="009623C4"/>
    <w:rsid w:val="00964D7E"/>
    <w:rsid w:val="00967985"/>
    <w:rsid w:val="009716F0"/>
    <w:rsid w:val="00974C64"/>
    <w:rsid w:val="009750A5"/>
    <w:rsid w:val="00975C2B"/>
    <w:rsid w:val="00976B5A"/>
    <w:rsid w:val="00980069"/>
    <w:rsid w:val="00981286"/>
    <w:rsid w:val="0098167B"/>
    <w:rsid w:val="00981F34"/>
    <w:rsid w:val="00982124"/>
    <w:rsid w:val="009825BA"/>
    <w:rsid w:val="00982EC1"/>
    <w:rsid w:val="009838FF"/>
    <w:rsid w:val="009861F0"/>
    <w:rsid w:val="00986712"/>
    <w:rsid w:val="00986F1F"/>
    <w:rsid w:val="009875C2"/>
    <w:rsid w:val="00990F01"/>
    <w:rsid w:val="009910A7"/>
    <w:rsid w:val="0099199C"/>
    <w:rsid w:val="00991E3A"/>
    <w:rsid w:val="0099330D"/>
    <w:rsid w:val="0099413C"/>
    <w:rsid w:val="0099464D"/>
    <w:rsid w:val="00994F1F"/>
    <w:rsid w:val="00996915"/>
    <w:rsid w:val="00996DCF"/>
    <w:rsid w:val="00997413"/>
    <w:rsid w:val="00997610"/>
    <w:rsid w:val="009A0730"/>
    <w:rsid w:val="009A0DE7"/>
    <w:rsid w:val="009A11A4"/>
    <w:rsid w:val="009A1DF9"/>
    <w:rsid w:val="009A216A"/>
    <w:rsid w:val="009A27A4"/>
    <w:rsid w:val="009A556D"/>
    <w:rsid w:val="009A5E6A"/>
    <w:rsid w:val="009A6B8E"/>
    <w:rsid w:val="009A6C54"/>
    <w:rsid w:val="009A7997"/>
    <w:rsid w:val="009B0C05"/>
    <w:rsid w:val="009B125A"/>
    <w:rsid w:val="009B1A27"/>
    <w:rsid w:val="009B20CD"/>
    <w:rsid w:val="009B25B3"/>
    <w:rsid w:val="009B3143"/>
    <w:rsid w:val="009B3835"/>
    <w:rsid w:val="009B386A"/>
    <w:rsid w:val="009B4B4E"/>
    <w:rsid w:val="009B4DCB"/>
    <w:rsid w:val="009B5698"/>
    <w:rsid w:val="009B6820"/>
    <w:rsid w:val="009B7794"/>
    <w:rsid w:val="009C02F4"/>
    <w:rsid w:val="009C0DDC"/>
    <w:rsid w:val="009C1162"/>
    <w:rsid w:val="009C193D"/>
    <w:rsid w:val="009C493D"/>
    <w:rsid w:val="009C6353"/>
    <w:rsid w:val="009C74A0"/>
    <w:rsid w:val="009C775A"/>
    <w:rsid w:val="009C7D3E"/>
    <w:rsid w:val="009D1B91"/>
    <w:rsid w:val="009D306E"/>
    <w:rsid w:val="009D35DF"/>
    <w:rsid w:val="009D45D6"/>
    <w:rsid w:val="009D51A7"/>
    <w:rsid w:val="009D5415"/>
    <w:rsid w:val="009D57B2"/>
    <w:rsid w:val="009D5DA3"/>
    <w:rsid w:val="009E133F"/>
    <w:rsid w:val="009E267E"/>
    <w:rsid w:val="009E3758"/>
    <w:rsid w:val="009E3C75"/>
    <w:rsid w:val="009E4E2D"/>
    <w:rsid w:val="009E5826"/>
    <w:rsid w:val="009E5FBA"/>
    <w:rsid w:val="009E62C0"/>
    <w:rsid w:val="009E64E5"/>
    <w:rsid w:val="009E6A0E"/>
    <w:rsid w:val="009E6E8B"/>
    <w:rsid w:val="009E75CA"/>
    <w:rsid w:val="009E798F"/>
    <w:rsid w:val="009E7BAC"/>
    <w:rsid w:val="009E7F14"/>
    <w:rsid w:val="009F0A3A"/>
    <w:rsid w:val="009F10E5"/>
    <w:rsid w:val="009F1509"/>
    <w:rsid w:val="009F1856"/>
    <w:rsid w:val="009F304C"/>
    <w:rsid w:val="009F36BD"/>
    <w:rsid w:val="009F3C1D"/>
    <w:rsid w:val="009F508F"/>
    <w:rsid w:val="009F5273"/>
    <w:rsid w:val="009F6112"/>
    <w:rsid w:val="009F649B"/>
    <w:rsid w:val="009F6F50"/>
    <w:rsid w:val="00A005C1"/>
    <w:rsid w:val="00A006F2"/>
    <w:rsid w:val="00A00777"/>
    <w:rsid w:val="00A01138"/>
    <w:rsid w:val="00A0127E"/>
    <w:rsid w:val="00A018B4"/>
    <w:rsid w:val="00A028B7"/>
    <w:rsid w:val="00A02DFE"/>
    <w:rsid w:val="00A02F4E"/>
    <w:rsid w:val="00A05474"/>
    <w:rsid w:val="00A05686"/>
    <w:rsid w:val="00A05D18"/>
    <w:rsid w:val="00A07AFA"/>
    <w:rsid w:val="00A07DA9"/>
    <w:rsid w:val="00A1131B"/>
    <w:rsid w:val="00A1166B"/>
    <w:rsid w:val="00A13524"/>
    <w:rsid w:val="00A1566D"/>
    <w:rsid w:val="00A16DB4"/>
    <w:rsid w:val="00A1711C"/>
    <w:rsid w:val="00A1748B"/>
    <w:rsid w:val="00A20791"/>
    <w:rsid w:val="00A20D06"/>
    <w:rsid w:val="00A21CEC"/>
    <w:rsid w:val="00A23022"/>
    <w:rsid w:val="00A236BB"/>
    <w:rsid w:val="00A23E32"/>
    <w:rsid w:val="00A25B62"/>
    <w:rsid w:val="00A263F4"/>
    <w:rsid w:val="00A303F8"/>
    <w:rsid w:val="00A309FF"/>
    <w:rsid w:val="00A3211F"/>
    <w:rsid w:val="00A322B5"/>
    <w:rsid w:val="00A369DB"/>
    <w:rsid w:val="00A40494"/>
    <w:rsid w:val="00A4085A"/>
    <w:rsid w:val="00A41477"/>
    <w:rsid w:val="00A41EBD"/>
    <w:rsid w:val="00A42B05"/>
    <w:rsid w:val="00A42C36"/>
    <w:rsid w:val="00A43380"/>
    <w:rsid w:val="00A439ED"/>
    <w:rsid w:val="00A4469A"/>
    <w:rsid w:val="00A446C3"/>
    <w:rsid w:val="00A44EB2"/>
    <w:rsid w:val="00A46156"/>
    <w:rsid w:val="00A46C08"/>
    <w:rsid w:val="00A46C76"/>
    <w:rsid w:val="00A478EB"/>
    <w:rsid w:val="00A50269"/>
    <w:rsid w:val="00A507C7"/>
    <w:rsid w:val="00A522BB"/>
    <w:rsid w:val="00A53585"/>
    <w:rsid w:val="00A537A9"/>
    <w:rsid w:val="00A53F34"/>
    <w:rsid w:val="00A5423E"/>
    <w:rsid w:val="00A54F20"/>
    <w:rsid w:val="00A56B54"/>
    <w:rsid w:val="00A56CC7"/>
    <w:rsid w:val="00A5708D"/>
    <w:rsid w:val="00A571BE"/>
    <w:rsid w:val="00A6049F"/>
    <w:rsid w:val="00A60A54"/>
    <w:rsid w:val="00A6104D"/>
    <w:rsid w:val="00A61063"/>
    <w:rsid w:val="00A61459"/>
    <w:rsid w:val="00A6226F"/>
    <w:rsid w:val="00A62C9B"/>
    <w:rsid w:val="00A63684"/>
    <w:rsid w:val="00A63C42"/>
    <w:rsid w:val="00A642BE"/>
    <w:rsid w:val="00A65A70"/>
    <w:rsid w:val="00A65CCB"/>
    <w:rsid w:val="00A66B25"/>
    <w:rsid w:val="00A67E1F"/>
    <w:rsid w:val="00A70075"/>
    <w:rsid w:val="00A70896"/>
    <w:rsid w:val="00A70BC2"/>
    <w:rsid w:val="00A71C1F"/>
    <w:rsid w:val="00A71E41"/>
    <w:rsid w:val="00A72BBC"/>
    <w:rsid w:val="00A7316C"/>
    <w:rsid w:val="00A7431C"/>
    <w:rsid w:val="00A74387"/>
    <w:rsid w:val="00A76061"/>
    <w:rsid w:val="00A77D3E"/>
    <w:rsid w:val="00A8114A"/>
    <w:rsid w:val="00A8122F"/>
    <w:rsid w:val="00A833E1"/>
    <w:rsid w:val="00A84F72"/>
    <w:rsid w:val="00A858AC"/>
    <w:rsid w:val="00A85EE9"/>
    <w:rsid w:val="00A86A5E"/>
    <w:rsid w:val="00A86BAB"/>
    <w:rsid w:val="00A87D83"/>
    <w:rsid w:val="00A9138E"/>
    <w:rsid w:val="00A9170E"/>
    <w:rsid w:val="00A91DC5"/>
    <w:rsid w:val="00A92364"/>
    <w:rsid w:val="00A936EB"/>
    <w:rsid w:val="00A94099"/>
    <w:rsid w:val="00A94689"/>
    <w:rsid w:val="00A95DCC"/>
    <w:rsid w:val="00A9768C"/>
    <w:rsid w:val="00A97B74"/>
    <w:rsid w:val="00AA0346"/>
    <w:rsid w:val="00AA0659"/>
    <w:rsid w:val="00AA099C"/>
    <w:rsid w:val="00AA1F3C"/>
    <w:rsid w:val="00AA221F"/>
    <w:rsid w:val="00AA2C80"/>
    <w:rsid w:val="00AA3919"/>
    <w:rsid w:val="00AA3C19"/>
    <w:rsid w:val="00AA53B1"/>
    <w:rsid w:val="00AA5608"/>
    <w:rsid w:val="00AA5F58"/>
    <w:rsid w:val="00AA673B"/>
    <w:rsid w:val="00AB110C"/>
    <w:rsid w:val="00AB122D"/>
    <w:rsid w:val="00AB15D6"/>
    <w:rsid w:val="00AB1C06"/>
    <w:rsid w:val="00AB247A"/>
    <w:rsid w:val="00AB4986"/>
    <w:rsid w:val="00AB5246"/>
    <w:rsid w:val="00AC02B4"/>
    <w:rsid w:val="00AC1662"/>
    <w:rsid w:val="00AC18D7"/>
    <w:rsid w:val="00AC18DD"/>
    <w:rsid w:val="00AC20D6"/>
    <w:rsid w:val="00AC23C3"/>
    <w:rsid w:val="00AC270E"/>
    <w:rsid w:val="00AC3D79"/>
    <w:rsid w:val="00AC4785"/>
    <w:rsid w:val="00AC4E2B"/>
    <w:rsid w:val="00AC65A1"/>
    <w:rsid w:val="00AC6A50"/>
    <w:rsid w:val="00AC6C3A"/>
    <w:rsid w:val="00AC79AF"/>
    <w:rsid w:val="00AD1A37"/>
    <w:rsid w:val="00AD1FD4"/>
    <w:rsid w:val="00AD24E9"/>
    <w:rsid w:val="00AD2E36"/>
    <w:rsid w:val="00AD33D9"/>
    <w:rsid w:val="00AD368A"/>
    <w:rsid w:val="00AD5F35"/>
    <w:rsid w:val="00AD6070"/>
    <w:rsid w:val="00AD6C42"/>
    <w:rsid w:val="00AD7A76"/>
    <w:rsid w:val="00AE03DB"/>
    <w:rsid w:val="00AE090C"/>
    <w:rsid w:val="00AE0F56"/>
    <w:rsid w:val="00AE20CB"/>
    <w:rsid w:val="00AE3C64"/>
    <w:rsid w:val="00AE6D66"/>
    <w:rsid w:val="00AE7073"/>
    <w:rsid w:val="00AE7BE6"/>
    <w:rsid w:val="00AF1A0C"/>
    <w:rsid w:val="00AF1AF1"/>
    <w:rsid w:val="00AF38FB"/>
    <w:rsid w:val="00AF3A08"/>
    <w:rsid w:val="00AF4983"/>
    <w:rsid w:val="00AF4BF2"/>
    <w:rsid w:val="00AF4C9E"/>
    <w:rsid w:val="00AF5945"/>
    <w:rsid w:val="00B00470"/>
    <w:rsid w:val="00B01735"/>
    <w:rsid w:val="00B019ED"/>
    <w:rsid w:val="00B01C1E"/>
    <w:rsid w:val="00B04A5C"/>
    <w:rsid w:val="00B04E7D"/>
    <w:rsid w:val="00B05815"/>
    <w:rsid w:val="00B06FAD"/>
    <w:rsid w:val="00B07730"/>
    <w:rsid w:val="00B07CF0"/>
    <w:rsid w:val="00B07F4D"/>
    <w:rsid w:val="00B07FE0"/>
    <w:rsid w:val="00B10D4D"/>
    <w:rsid w:val="00B113E5"/>
    <w:rsid w:val="00B1258C"/>
    <w:rsid w:val="00B12CE4"/>
    <w:rsid w:val="00B137D6"/>
    <w:rsid w:val="00B15319"/>
    <w:rsid w:val="00B15DA1"/>
    <w:rsid w:val="00B161F9"/>
    <w:rsid w:val="00B1628A"/>
    <w:rsid w:val="00B1716D"/>
    <w:rsid w:val="00B1724C"/>
    <w:rsid w:val="00B17627"/>
    <w:rsid w:val="00B17D96"/>
    <w:rsid w:val="00B17F18"/>
    <w:rsid w:val="00B20FB1"/>
    <w:rsid w:val="00B21AAA"/>
    <w:rsid w:val="00B21E86"/>
    <w:rsid w:val="00B22A46"/>
    <w:rsid w:val="00B23D7E"/>
    <w:rsid w:val="00B2435B"/>
    <w:rsid w:val="00B26C9B"/>
    <w:rsid w:val="00B274A9"/>
    <w:rsid w:val="00B2760C"/>
    <w:rsid w:val="00B3050C"/>
    <w:rsid w:val="00B307B7"/>
    <w:rsid w:val="00B32329"/>
    <w:rsid w:val="00B32CBF"/>
    <w:rsid w:val="00B33ECB"/>
    <w:rsid w:val="00B34DFF"/>
    <w:rsid w:val="00B34F5B"/>
    <w:rsid w:val="00B35941"/>
    <w:rsid w:val="00B36B0A"/>
    <w:rsid w:val="00B40511"/>
    <w:rsid w:val="00B4078E"/>
    <w:rsid w:val="00B41D02"/>
    <w:rsid w:val="00B427BF"/>
    <w:rsid w:val="00B46F57"/>
    <w:rsid w:val="00B4768C"/>
    <w:rsid w:val="00B51245"/>
    <w:rsid w:val="00B53DAF"/>
    <w:rsid w:val="00B566F5"/>
    <w:rsid w:val="00B57E9B"/>
    <w:rsid w:val="00B6008C"/>
    <w:rsid w:val="00B61C5C"/>
    <w:rsid w:val="00B62983"/>
    <w:rsid w:val="00B62DB2"/>
    <w:rsid w:val="00B62E4E"/>
    <w:rsid w:val="00B63129"/>
    <w:rsid w:val="00B637FD"/>
    <w:rsid w:val="00B64D51"/>
    <w:rsid w:val="00B66173"/>
    <w:rsid w:val="00B71529"/>
    <w:rsid w:val="00B727F4"/>
    <w:rsid w:val="00B74632"/>
    <w:rsid w:val="00B75EB8"/>
    <w:rsid w:val="00B76224"/>
    <w:rsid w:val="00B76BBF"/>
    <w:rsid w:val="00B772F9"/>
    <w:rsid w:val="00B8223C"/>
    <w:rsid w:val="00B8291E"/>
    <w:rsid w:val="00B832FF"/>
    <w:rsid w:val="00B8384C"/>
    <w:rsid w:val="00B84BA5"/>
    <w:rsid w:val="00B84D44"/>
    <w:rsid w:val="00B85410"/>
    <w:rsid w:val="00B902AA"/>
    <w:rsid w:val="00B918B1"/>
    <w:rsid w:val="00B91903"/>
    <w:rsid w:val="00B92DE3"/>
    <w:rsid w:val="00B93522"/>
    <w:rsid w:val="00BA1123"/>
    <w:rsid w:val="00BA1AE7"/>
    <w:rsid w:val="00BA1B48"/>
    <w:rsid w:val="00BA37BD"/>
    <w:rsid w:val="00BA5195"/>
    <w:rsid w:val="00BA716D"/>
    <w:rsid w:val="00BA7195"/>
    <w:rsid w:val="00BB1023"/>
    <w:rsid w:val="00BB167C"/>
    <w:rsid w:val="00BB2B4E"/>
    <w:rsid w:val="00BB3059"/>
    <w:rsid w:val="00BB322D"/>
    <w:rsid w:val="00BB38AE"/>
    <w:rsid w:val="00BB3F66"/>
    <w:rsid w:val="00BB5016"/>
    <w:rsid w:val="00BB50FA"/>
    <w:rsid w:val="00BB7DDE"/>
    <w:rsid w:val="00BC0335"/>
    <w:rsid w:val="00BC05A7"/>
    <w:rsid w:val="00BC3572"/>
    <w:rsid w:val="00BC4869"/>
    <w:rsid w:val="00BC4E0E"/>
    <w:rsid w:val="00BC6F31"/>
    <w:rsid w:val="00BD1148"/>
    <w:rsid w:val="00BD355C"/>
    <w:rsid w:val="00BD3C8D"/>
    <w:rsid w:val="00BD4655"/>
    <w:rsid w:val="00BD49FD"/>
    <w:rsid w:val="00BD555E"/>
    <w:rsid w:val="00BD57EA"/>
    <w:rsid w:val="00BD617B"/>
    <w:rsid w:val="00BD779D"/>
    <w:rsid w:val="00BD7DBF"/>
    <w:rsid w:val="00BE35CF"/>
    <w:rsid w:val="00BE4892"/>
    <w:rsid w:val="00BE4F5E"/>
    <w:rsid w:val="00BE5237"/>
    <w:rsid w:val="00BE61DA"/>
    <w:rsid w:val="00BE720E"/>
    <w:rsid w:val="00BF03D8"/>
    <w:rsid w:val="00BF0CD6"/>
    <w:rsid w:val="00BF1AC3"/>
    <w:rsid w:val="00BF323F"/>
    <w:rsid w:val="00BF44DA"/>
    <w:rsid w:val="00BF51F9"/>
    <w:rsid w:val="00BF6A86"/>
    <w:rsid w:val="00BF7DF1"/>
    <w:rsid w:val="00C01CC8"/>
    <w:rsid w:val="00C0219C"/>
    <w:rsid w:val="00C02626"/>
    <w:rsid w:val="00C032EC"/>
    <w:rsid w:val="00C04846"/>
    <w:rsid w:val="00C10157"/>
    <w:rsid w:val="00C12179"/>
    <w:rsid w:val="00C12309"/>
    <w:rsid w:val="00C137E9"/>
    <w:rsid w:val="00C15808"/>
    <w:rsid w:val="00C15E9D"/>
    <w:rsid w:val="00C1755B"/>
    <w:rsid w:val="00C17CE0"/>
    <w:rsid w:val="00C17E65"/>
    <w:rsid w:val="00C20EFD"/>
    <w:rsid w:val="00C20FE6"/>
    <w:rsid w:val="00C21658"/>
    <w:rsid w:val="00C221E2"/>
    <w:rsid w:val="00C227E5"/>
    <w:rsid w:val="00C22B8A"/>
    <w:rsid w:val="00C238E4"/>
    <w:rsid w:val="00C24703"/>
    <w:rsid w:val="00C24BE2"/>
    <w:rsid w:val="00C24F28"/>
    <w:rsid w:val="00C24FA2"/>
    <w:rsid w:val="00C25F69"/>
    <w:rsid w:val="00C26BCF"/>
    <w:rsid w:val="00C307B5"/>
    <w:rsid w:val="00C31577"/>
    <w:rsid w:val="00C32181"/>
    <w:rsid w:val="00C3263E"/>
    <w:rsid w:val="00C33BE4"/>
    <w:rsid w:val="00C33FDC"/>
    <w:rsid w:val="00C34240"/>
    <w:rsid w:val="00C353EA"/>
    <w:rsid w:val="00C36F95"/>
    <w:rsid w:val="00C36FD7"/>
    <w:rsid w:val="00C375E7"/>
    <w:rsid w:val="00C37E6E"/>
    <w:rsid w:val="00C400EC"/>
    <w:rsid w:val="00C40D2C"/>
    <w:rsid w:val="00C41410"/>
    <w:rsid w:val="00C41E39"/>
    <w:rsid w:val="00C4269B"/>
    <w:rsid w:val="00C43730"/>
    <w:rsid w:val="00C44A2D"/>
    <w:rsid w:val="00C452EC"/>
    <w:rsid w:val="00C45339"/>
    <w:rsid w:val="00C46A96"/>
    <w:rsid w:val="00C46DAA"/>
    <w:rsid w:val="00C46DBC"/>
    <w:rsid w:val="00C47CBE"/>
    <w:rsid w:val="00C500DA"/>
    <w:rsid w:val="00C50539"/>
    <w:rsid w:val="00C50C8D"/>
    <w:rsid w:val="00C528F5"/>
    <w:rsid w:val="00C549C1"/>
    <w:rsid w:val="00C5500E"/>
    <w:rsid w:val="00C552CB"/>
    <w:rsid w:val="00C5702C"/>
    <w:rsid w:val="00C57D1D"/>
    <w:rsid w:val="00C6127D"/>
    <w:rsid w:val="00C62DCC"/>
    <w:rsid w:val="00C64057"/>
    <w:rsid w:val="00C64756"/>
    <w:rsid w:val="00C65045"/>
    <w:rsid w:val="00C657D9"/>
    <w:rsid w:val="00C65AF2"/>
    <w:rsid w:val="00C65FEB"/>
    <w:rsid w:val="00C663C1"/>
    <w:rsid w:val="00C67B42"/>
    <w:rsid w:val="00C71CF8"/>
    <w:rsid w:val="00C72450"/>
    <w:rsid w:val="00C729BC"/>
    <w:rsid w:val="00C75CC2"/>
    <w:rsid w:val="00C75F79"/>
    <w:rsid w:val="00C7643F"/>
    <w:rsid w:val="00C767B5"/>
    <w:rsid w:val="00C76F85"/>
    <w:rsid w:val="00C771F0"/>
    <w:rsid w:val="00C773E8"/>
    <w:rsid w:val="00C77860"/>
    <w:rsid w:val="00C80911"/>
    <w:rsid w:val="00C80E22"/>
    <w:rsid w:val="00C810BF"/>
    <w:rsid w:val="00C8192D"/>
    <w:rsid w:val="00C81FDD"/>
    <w:rsid w:val="00C8227E"/>
    <w:rsid w:val="00C83FBD"/>
    <w:rsid w:val="00C856FA"/>
    <w:rsid w:val="00C857B2"/>
    <w:rsid w:val="00C861D8"/>
    <w:rsid w:val="00C87E2D"/>
    <w:rsid w:val="00C90423"/>
    <w:rsid w:val="00C91AE8"/>
    <w:rsid w:val="00C93E31"/>
    <w:rsid w:val="00C942B5"/>
    <w:rsid w:val="00C948D6"/>
    <w:rsid w:val="00C95C20"/>
    <w:rsid w:val="00C967C6"/>
    <w:rsid w:val="00C9684E"/>
    <w:rsid w:val="00C968D1"/>
    <w:rsid w:val="00C96B03"/>
    <w:rsid w:val="00CA11D1"/>
    <w:rsid w:val="00CA1E44"/>
    <w:rsid w:val="00CA2609"/>
    <w:rsid w:val="00CA428B"/>
    <w:rsid w:val="00CA466E"/>
    <w:rsid w:val="00CA53B9"/>
    <w:rsid w:val="00CA5672"/>
    <w:rsid w:val="00CA5B28"/>
    <w:rsid w:val="00CA5F58"/>
    <w:rsid w:val="00CA608D"/>
    <w:rsid w:val="00CA7251"/>
    <w:rsid w:val="00CA7276"/>
    <w:rsid w:val="00CA7FEA"/>
    <w:rsid w:val="00CB088B"/>
    <w:rsid w:val="00CB0F37"/>
    <w:rsid w:val="00CB101B"/>
    <w:rsid w:val="00CB1FB7"/>
    <w:rsid w:val="00CB3493"/>
    <w:rsid w:val="00CB3B6C"/>
    <w:rsid w:val="00CB4410"/>
    <w:rsid w:val="00CB6395"/>
    <w:rsid w:val="00CB6C97"/>
    <w:rsid w:val="00CB7132"/>
    <w:rsid w:val="00CC04DA"/>
    <w:rsid w:val="00CC08FA"/>
    <w:rsid w:val="00CC1294"/>
    <w:rsid w:val="00CC19FA"/>
    <w:rsid w:val="00CC3021"/>
    <w:rsid w:val="00CC54B6"/>
    <w:rsid w:val="00CC5606"/>
    <w:rsid w:val="00CC6248"/>
    <w:rsid w:val="00CC63B5"/>
    <w:rsid w:val="00CC6B91"/>
    <w:rsid w:val="00CC71FC"/>
    <w:rsid w:val="00CC75F8"/>
    <w:rsid w:val="00CC7F82"/>
    <w:rsid w:val="00CD16E3"/>
    <w:rsid w:val="00CD3404"/>
    <w:rsid w:val="00CD3EAF"/>
    <w:rsid w:val="00CD4024"/>
    <w:rsid w:val="00CD4CDD"/>
    <w:rsid w:val="00CD56E8"/>
    <w:rsid w:val="00CD5C3D"/>
    <w:rsid w:val="00CD5F23"/>
    <w:rsid w:val="00CD5FCB"/>
    <w:rsid w:val="00CD79A4"/>
    <w:rsid w:val="00CE0CAB"/>
    <w:rsid w:val="00CE1777"/>
    <w:rsid w:val="00CE22FA"/>
    <w:rsid w:val="00CE2579"/>
    <w:rsid w:val="00CE4269"/>
    <w:rsid w:val="00CE43FE"/>
    <w:rsid w:val="00CE635E"/>
    <w:rsid w:val="00CE6B7C"/>
    <w:rsid w:val="00CF09B9"/>
    <w:rsid w:val="00CF18C2"/>
    <w:rsid w:val="00CF1CEF"/>
    <w:rsid w:val="00CF2990"/>
    <w:rsid w:val="00CF2D7F"/>
    <w:rsid w:val="00CF3581"/>
    <w:rsid w:val="00CF3A65"/>
    <w:rsid w:val="00CF3FAE"/>
    <w:rsid w:val="00CF412E"/>
    <w:rsid w:val="00CF46C5"/>
    <w:rsid w:val="00CF4B1D"/>
    <w:rsid w:val="00CF51A6"/>
    <w:rsid w:val="00CF5968"/>
    <w:rsid w:val="00CF5B83"/>
    <w:rsid w:val="00CF6440"/>
    <w:rsid w:val="00CF75AB"/>
    <w:rsid w:val="00D02AB5"/>
    <w:rsid w:val="00D03349"/>
    <w:rsid w:val="00D033AE"/>
    <w:rsid w:val="00D05253"/>
    <w:rsid w:val="00D06209"/>
    <w:rsid w:val="00D06C0D"/>
    <w:rsid w:val="00D06C7B"/>
    <w:rsid w:val="00D0789F"/>
    <w:rsid w:val="00D102D4"/>
    <w:rsid w:val="00D10D4E"/>
    <w:rsid w:val="00D1184F"/>
    <w:rsid w:val="00D11FD4"/>
    <w:rsid w:val="00D127E7"/>
    <w:rsid w:val="00D12A1D"/>
    <w:rsid w:val="00D1557A"/>
    <w:rsid w:val="00D167AE"/>
    <w:rsid w:val="00D16DA9"/>
    <w:rsid w:val="00D17814"/>
    <w:rsid w:val="00D17853"/>
    <w:rsid w:val="00D20B88"/>
    <w:rsid w:val="00D22F00"/>
    <w:rsid w:val="00D24384"/>
    <w:rsid w:val="00D25AE2"/>
    <w:rsid w:val="00D25D18"/>
    <w:rsid w:val="00D26771"/>
    <w:rsid w:val="00D27983"/>
    <w:rsid w:val="00D30A47"/>
    <w:rsid w:val="00D30AB3"/>
    <w:rsid w:val="00D30E99"/>
    <w:rsid w:val="00D35A36"/>
    <w:rsid w:val="00D37445"/>
    <w:rsid w:val="00D40389"/>
    <w:rsid w:val="00D40F8B"/>
    <w:rsid w:val="00D410D7"/>
    <w:rsid w:val="00D4217D"/>
    <w:rsid w:val="00D42367"/>
    <w:rsid w:val="00D4305B"/>
    <w:rsid w:val="00D431F4"/>
    <w:rsid w:val="00D43B84"/>
    <w:rsid w:val="00D43D55"/>
    <w:rsid w:val="00D442B5"/>
    <w:rsid w:val="00D45459"/>
    <w:rsid w:val="00D46972"/>
    <w:rsid w:val="00D4712B"/>
    <w:rsid w:val="00D47288"/>
    <w:rsid w:val="00D50763"/>
    <w:rsid w:val="00D50B6E"/>
    <w:rsid w:val="00D51EED"/>
    <w:rsid w:val="00D525A3"/>
    <w:rsid w:val="00D526A8"/>
    <w:rsid w:val="00D52981"/>
    <w:rsid w:val="00D53327"/>
    <w:rsid w:val="00D53C2E"/>
    <w:rsid w:val="00D54301"/>
    <w:rsid w:val="00D544DE"/>
    <w:rsid w:val="00D55F6A"/>
    <w:rsid w:val="00D56543"/>
    <w:rsid w:val="00D6008F"/>
    <w:rsid w:val="00D60F3C"/>
    <w:rsid w:val="00D61C34"/>
    <w:rsid w:val="00D61C90"/>
    <w:rsid w:val="00D629BC"/>
    <w:rsid w:val="00D62AA3"/>
    <w:rsid w:val="00D65190"/>
    <w:rsid w:val="00D6568F"/>
    <w:rsid w:val="00D66EA4"/>
    <w:rsid w:val="00D67908"/>
    <w:rsid w:val="00D74003"/>
    <w:rsid w:val="00D74180"/>
    <w:rsid w:val="00D7420F"/>
    <w:rsid w:val="00D74C47"/>
    <w:rsid w:val="00D76B62"/>
    <w:rsid w:val="00D7769B"/>
    <w:rsid w:val="00D803D9"/>
    <w:rsid w:val="00D81930"/>
    <w:rsid w:val="00D829C6"/>
    <w:rsid w:val="00D846A3"/>
    <w:rsid w:val="00D848CB"/>
    <w:rsid w:val="00D84C5D"/>
    <w:rsid w:val="00D84D1F"/>
    <w:rsid w:val="00D85668"/>
    <w:rsid w:val="00D8578A"/>
    <w:rsid w:val="00D85FC1"/>
    <w:rsid w:val="00D8671C"/>
    <w:rsid w:val="00D86807"/>
    <w:rsid w:val="00D86EA5"/>
    <w:rsid w:val="00D87009"/>
    <w:rsid w:val="00D8740F"/>
    <w:rsid w:val="00D9036C"/>
    <w:rsid w:val="00D90E6E"/>
    <w:rsid w:val="00D91B29"/>
    <w:rsid w:val="00D91E9A"/>
    <w:rsid w:val="00D91F14"/>
    <w:rsid w:val="00D91F22"/>
    <w:rsid w:val="00D921FC"/>
    <w:rsid w:val="00D92851"/>
    <w:rsid w:val="00D928D7"/>
    <w:rsid w:val="00D931CB"/>
    <w:rsid w:val="00D93FC2"/>
    <w:rsid w:val="00D94484"/>
    <w:rsid w:val="00D9489E"/>
    <w:rsid w:val="00D94AA8"/>
    <w:rsid w:val="00D96AD3"/>
    <w:rsid w:val="00D9783E"/>
    <w:rsid w:val="00D97A08"/>
    <w:rsid w:val="00D97DA8"/>
    <w:rsid w:val="00DA1B54"/>
    <w:rsid w:val="00DA2478"/>
    <w:rsid w:val="00DA3AAB"/>
    <w:rsid w:val="00DA581E"/>
    <w:rsid w:val="00DA5C36"/>
    <w:rsid w:val="00DA60D4"/>
    <w:rsid w:val="00DA7ACD"/>
    <w:rsid w:val="00DB03F2"/>
    <w:rsid w:val="00DB0BAD"/>
    <w:rsid w:val="00DB0C3E"/>
    <w:rsid w:val="00DB204B"/>
    <w:rsid w:val="00DB22F2"/>
    <w:rsid w:val="00DB3715"/>
    <w:rsid w:val="00DB4D38"/>
    <w:rsid w:val="00DB5E19"/>
    <w:rsid w:val="00DB6B3D"/>
    <w:rsid w:val="00DB6ECD"/>
    <w:rsid w:val="00DC05DF"/>
    <w:rsid w:val="00DC0889"/>
    <w:rsid w:val="00DC2FBF"/>
    <w:rsid w:val="00DC35BF"/>
    <w:rsid w:val="00DC496B"/>
    <w:rsid w:val="00DC6FDB"/>
    <w:rsid w:val="00DD19B2"/>
    <w:rsid w:val="00DD2A58"/>
    <w:rsid w:val="00DD35CB"/>
    <w:rsid w:val="00DD3C63"/>
    <w:rsid w:val="00DD416C"/>
    <w:rsid w:val="00DD46BC"/>
    <w:rsid w:val="00DD4C7E"/>
    <w:rsid w:val="00DD5121"/>
    <w:rsid w:val="00DD734B"/>
    <w:rsid w:val="00DD77E5"/>
    <w:rsid w:val="00DE0015"/>
    <w:rsid w:val="00DE0B39"/>
    <w:rsid w:val="00DE0D99"/>
    <w:rsid w:val="00DE18AF"/>
    <w:rsid w:val="00DE19CA"/>
    <w:rsid w:val="00DE2AC1"/>
    <w:rsid w:val="00DE6F7A"/>
    <w:rsid w:val="00DF040D"/>
    <w:rsid w:val="00DF059B"/>
    <w:rsid w:val="00DF1ECC"/>
    <w:rsid w:val="00DF27A7"/>
    <w:rsid w:val="00DF30E0"/>
    <w:rsid w:val="00DF3C2A"/>
    <w:rsid w:val="00DF40BF"/>
    <w:rsid w:val="00DF5B55"/>
    <w:rsid w:val="00DF5BA2"/>
    <w:rsid w:val="00DF6782"/>
    <w:rsid w:val="00E0177A"/>
    <w:rsid w:val="00E02537"/>
    <w:rsid w:val="00E03C25"/>
    <w:rsid w:val="00E03F92"/>
    <w:rsid w:val="00E04189"/>
    <w:rsid w:val="00E04354"/>
    <w:rsid w:val="00E052B3"/>
    <w:rsid w:val="00E07178"/>
    <w:rsid w:val="00E11C49"/>
    <w:rsid w:val="00E11CB9"/>
    <w:rsid w:val="00E1230B"/>
    <w:rsid w:val="00E125BF"/>
    <w:rsid w:val="00E12F00"/>
    <w:rsid w:val="00E13466"/>
    <w:rsid w:val="00E13E34"/>
    <w:rsid w:val="00E13F5A"/>
    <w:rsid w:val="00E14203"/>
    <w:rsid w:val="00E14AAC"/>
    <w:rsid w:val="00E15FEB"/>
    <w:rsid w:val="00E20005"/>
    <w:rsid w:val="00E20020"/>
    <w:rsid w:val="00E21FC9"/>
    <w:rsid w:val="00E22E02"/>
    <w:rsid w:val="00E237D5"/>
    <w:rsid w:val="00E2505E"/>
    <w:rsid w:val="00E25398"/>
    <w:rsid w:val="00E25AC8"/>
    <w:rsid w:val="00E26598"/>
    <w:rsid w:val="00E270B0"/>
    <w:rsid w:val="00E27461"/>
    <w:rsid w:val="00E27E2E"/>
    <w:rsid w:val="00E30721"/>
    <w:rsid w:val="00E3129C"/>
    <w:rsid w:val="00E31785"/>
    <w:rsid w:val="00E31B6D"/>
    <w:rsid w:val="00E3646B"/>
    <w:rsid w:val="00E37AE6"/>
    <w:rsid w:val="00E4237F"/>
    <w:rsid w:val="00E43160"/>
    <w:rsid w:val="00E43991"/>
    <w:rsid w:val="00E4531F"/>
    <w:rsid w:val="00E45760"/>
    <w:rsid w:val="00E45DD0"/>
    <w:rsid w:val="00E4674B"/>
    <w:rsid w:val="00E4742E"/>
    <w:rsid w:val="00E47547"/>
    <w:rsid w:val="00E475AE"/>
    <w:rsid w:val="00E509F0"/>
    <w:rsid w:val="00E5100D"/>
    <w:rsid w:val="00E5202E"/>
    <w:rsid w:val="00E5238A"/>
    <w:rsid w:val="00E526B9"/>
    <w:rsid w:val="00E52C9C"/>
    <w:rsid w:val="00E53933"/>
    <w:rsid w:val="00E54FF4"/>
    <w:rsid w:val="00E550C6"/>
    <w:rsid w:val="00E55CCB"/>
    <w:rsid w:val="00E5601E"/>
    <w:rsid w:val="00E56116"/>
    <w:rsid w:val="00E56229"/>
    <w:rsid w:val="00E56891"/>
    <w:rsid w:val="00E5691C"/>
    <w:rsid w:val="00E57E70"/>
    <w:rsid w:val="00E60B02"/>
    <w:rsid w:val="00E6105C"/>
    <w:rsid w:val="00E611F4"/>
    <w:rsid w:val="00E616C5"/>
    <w:rsid w:val="00E61907"/>
    <w:rsid w:val="00E624C0"/>
    <w:rsid w:val="00E62A23"/>
    <w:rsid w:val="00E6446A"/>
    <w:rsid w:val="00E64484"/>
    <w:rsid w:val="00E64CB4"/>
    <w:rsid w:val="00E64F97"/>
    <w:rsid w:val="00E65078"/>
    <w:rsid w:val="00E6512F"/>
    <w:rsid w:val="00E664E5"/>
    <w:rsid w:val="00E6772A"/>
    <w:rsid w:val="00E67F4F"/>
    <w:rsid w:val="00E70064"/>
    <w:rsid w:val="00E710B1"/>
    <w:rsid w:val="00E71638"/>
    <w:rsid w:val="00E7190E"/>
    <w:rsid w:val="00E72111"/>
    <w:rsid w:val="00E72A8D"/>
    <w:rsid w:val="00E7493F"/>
    <w:rsid w:val="00E749DF"/>
    <w:rsid w:val="00E74F2B"/>
    <w:rsid w:val="00E75B97"/>
    <w:rsid w:val="00E7656B"/>
    <w:rsid w:val="00E77094"/>
    <w:rsid w:val="00E80F21"/>
    <w:rsid w:val="00E847D0"/>
    <w:rsid w:val="00E861B6"/>
    <w:rsid w:val="00E86434"/>
    <w:rsid w:val="00E87819"/>
    <w:rsid w:val="00E90511"/>
    <w:rsid w:val="00E90B49"/>
    <w:rsid w:val="00E92DE7"/>
    <w:rsid w:val="00E935B8"/>
    <w:rsid w:val="00E939D0"/>
    <w:rsid w:val="00E9401F"/>
    <w:rsid w:val="00E945FF"/>
    <w:rsid w:val="00E952A1"/>
    <w:rsid w:val="00E96205"/>
    <w:rsid w:val="00E96247"/>
    <w:rsid w:val="00E97134"/>
    <w:rsid w:val="00E97619"/>
    <w:rsid w:val="00E97B66"/>
    <w:rsid w:val="00EA0027"/>
    <w:rsid w:val="00EA0D8F"/>
    <w:rsid w:val="00EA357C"/>
    <w:rsid w:val="00EA4F68"/>
    <w:rsid w:val="00EA62AC"/>
    <w:rsid w:val="00EA6ABF"/>
    <w:rsid w:val="00EA6D70"/>
    <w:rsid w:val="00EA7CC5"/>
    <w:rsid w:val="00EB01B9"/>
    <w:rsid w:val="00EB0B1C"/>
    <w:rsid w:val="00EB1753"/>
    <w:rsid w:val="00EB1E44"/>
    <w:rsid w:val="00EB226B"/>
    <w:rsid w:val="00EB3615"/>
    <w:rsid w:val="00EC0002"/>
    <w:rsid w:val="00EC087D"/>
    <w:rsid w:val="00EC2826"/>
    <w:rsid w:val="00EC3486"/>
    <w:rsid w:val="00EC52CE"/>
    <w:rsid w:val="00EC532B"/>
    <w:rsid w:val="00EC5C3F"/>
    <w:rsid w:val="00EC6B7A"/>
    <w:rsid w:val="00EC739A"/>
    <w:rsid w:val="00EC7475"/>
    <w:rsid w:val="00EC74FC"/>
    <w:rsid w:val="00EC7D9B"/>
    <w:rsid w:val="00ED0E7E"/>
    <w:rsid w:val="00ED47CF"/>
    <w:rsid w:val="00ED562A"/>
    <w:rsid w:val="00ED5635"/>
    <w:rsid w:val="00ED6EB6"/>
    <w:rsid w:val="00ED7E6A"/>
    <w:rsid w:val="00EE1521"/>
    <w:rsid w:val="00EE42E5"/>
    <w:rsid w:val="00EE431D"/>
    <w:rsid w:val="00EE5EA7"/>
    <w:rsid w:val="00EE71BF"/>
    <w:rsid w:val="00EE79C4"/>
    <w:rsid w:val="00EF0448"/>
    <w:rsid w:val="00EF04E5"/>
    <w:rsid w:val="00EF0BCA"/>
    <w:rsid w:val="00EF179A"/>
    <w:rsid w:val="00EF1C4D"/>
    <w:rsid w:val="00EF1E5F"/>
    <w:rsid w:val="00EF2602"/>
    <w:rsid w:val="00EF3A20"/>
    <w:rsid w:val="00EF3B49"/>
    <w:rsid w:val="00EF41BC"/>
    <w:rsid w:val="00EF4DFE"/>
    <w:rsid w:val="00EF55C6"/>
    <w:rsid w:val="00EF62E4"/>
    <w:rsid w:val="00EF695E"/>
    <w:rsid w:val="00EF7CE8"/>
    <w:rsid w:val="00EF7FBE"/>
    <w:rsid w:val="00F00281"/>
    <w:rsid w:val="00F00FB8"/>
    <w:rsid w:val="00F02097"/>
    <w:rsid w:val="00F022F3"/>
    <w:rsid w:val="00F02B5D"/>
    <w:rsid w:val="00F0304D"/>
    <w:rsid w:val="00F03A93"/>
    <w:rsid w:val="00F046C0"/>
    <w:rsid w:val="00F04F35"/>
    <w:rsid w:val="00F059BB"/>
    <w:rsid w:val="00F05B70"/>
    <w:rsid w:val="00F05F29"/>
    <w:rsid w:val="00F06CFC"/>
    <w:rsid w:val="00F077BB"/>
    <w:rsid w:val="00F1360F"/>
    <w:rsid w:val="00F14DA3"/>
    <w:rsid w:val="00F15590"/>
    <w:rsid w:val="00F157A1"/>
    <w:rsid w:val="00F15D37"/>
    <w:rsid w:val="00F1633C"/>
    <w:rsid w:val="00F16A0B"/>
    <w:rsid w:val="00F2047E"/>
    <w:rsid w:val="00F20FF9"/>
    <w:rsid w:val="00F20FFE"/>
    <w:rsid w:val="00F2121D"/>
    <w:rsid w:val="00F218C0"/>
    <w:rsid w:val="00F22399"/>
    <w:rsid w:val="00F23292"/>
    <w:rsid w:val="00F23C77"/>
    <w:rsid w:val="00F244E3"/>
    <w:rsid w:val="00F25419"/>
    <w:rsid w:val="00F271EA"/>
    <w:rsid w:val="00F27773"/>
    <w:rsid w:val="00F2779E"/>
    <w:rsid w:val="00F27804"/>
    <w:rsid w:val="00F30A53"/>
    <w:rsid w:val="00F30C1F"/>
    <w:rsid w:val="00F30D00"/>
    <w:rsid w:val="00F31A71"/>
    <w:rsid w:val="00F3259B"/>
    <w:rsid w:val="00F32E38"/>
    <w:rsid w:val="00F33B94"/>
    <w:rsid w:val="00F34ABD"/>
    <w:rsid w:val="00F35132"/>
    <w:rsid w:val="00F35586"/>
    <w:rsid w:val="00F35D04"/>
    <w:rsid w:val="00F3661C"/>
    <w:rsid w:val="00F37302"/>
    <w:rsid w:val="00F3778C"/>
    <w:rsid w:val="00F40914"/>
    <w:rsid w:val="00F43183"/>
    <w:rsid w:val="00F462C7"/>
    <w:rsid w:val="00F47D26"/>
    <w:rsid w:val="00F505FA"/>
    <w:rsid w:val="00F51119"/>
    <w:rsid w:val="00F5204A"/>
    <w:rsid w:val="00F52463"/>
    <w:rsid w:val="00F611DC"/>
    <w:rsid w:val="00F6121D"/>
    <w:rsid w:val="00F62A1B"/>
    <w:rsid w:val="00F6355B"/>
    <w:rsid w:val="00F63B7D"/>
    <w:rsid w:val="00F6480A"/>
    <w:rsid w:val="00F64F15"/>
    <w:rsid w:val="00F67663"/>
    <w:rsid w:val="00F70F66"/>
    <w:rsid w:val="00F7180E"/>
    <w:rsid w:val="00F721E1"/>
    <w:rsid w:val="00F72C8C"/>
    <w:rsid w:val="00F7320A"/>
    <w:rsid w:val="00F74545"/>
    <w:rsid w:val="00F75A2D"/>
    <w:rsid w:val="00F76905"/>
    <w:rsid w:val="00F77077"/>
    <w:rsid w:val="00F774F0"/>
    <w:rsid w:val="00F776C1"/>
    <w:rsid w:val="00F778C8"/>
    <w:rsid w:val="00F77990"/>
    <w:rsid w:val="00F8119A"/>
    <w:rsid w:val="00F8238A"/>
    <w:rsid w:val="00F85896"/>
    <w:rsid w:val="00F85EB2"/>
    <w:rsid w:val="00F862CD"/>
    <w:rsid w:val="00F87AF4"/>
    <w:rsid w:val="00F90E03"/>
    <w:rsid w:val="00F9130A"/>
    <w:rsid w:val="00F9153E"/>
    <w:rsid w:val="00F922D8"/>
    <w:rsid w:val="00F92F86"/>
    <w:rsid w:val="00F9389B"/>
    <w:rsid w:val="00F96A0A"/>
    <w:rsid w:val="00F97766"/>
    <w:rsid w:val="00FA1738"/>
    <w:rsid w:val="00FA1F0F"/>
    <w:rsid w:val="00FA2860"/>
    <w:rsid w:val="00FA345E"/>
    <w:rsid w:val="00FA34E1"/>
    <w:rsid w:val="00FA4504"/>
    <w:rsid w:val="00FA59FA"/>
    <w:rsid w:val="00FA6478"/>
    <w:rsid w:val="00FA65DE"/>
    <w:rsid w:val="00FA6748"/>
    <w:rsid w:val="00FB0C85"/>
    <w:rsid w:val="00FB20BA"/>
    <w:rsid w:val="00FB2381"/>
    <w:rsid w:val="00FB2CD1"/>
    <w:rsid w:val="00FB2EE0"/>
    <w:rsid w:val="00FB38EF"/>
    <w:rsid w:val="00FB5264"/>
    <w:rsid w:val="00FB6872"/>
    <w:rsid w:val="00FB6D46"/>
    <w:rsid w:val="00FB757E"/>
    <w:rsid w:val="00FB7B23"/>
    <w:rsid w:val="00FC1EA8"/>
    <w:rsid w:val="00FC1EC7"/>
    <w:rsid w:val="00FC20A3"/>
    <w:rsid w:val="00FC248C"/>
    <w:rsid w:val="00FC2C39"/>
    <w:rsid w:val="00FC2F81"/>
    <w:rsid w:val="00FC3C66"/>
    <w:rsid w:val="00FC4A5A"/>
    <w:rsid w:val="00FC4D0B"/>
    <w:rsid w:val="00FC60F3"/>
    <w:rsid w:val="00FC6261"/>
    <w:rsid w:val="00FC6277"/>
    <w:rsid w:val="00FC64E4"/>
    <w:rsid w:val="00FC6CAF"/>
    <w:rsid w:val="00FC6F25"/>
    <w:rsid w:val="00FC7CAA"/>
    <w:rsid w:val="00FD38C3"/>
    <w:rsid w:val="00FD484F"/>
    <w:rsid w:val="00FD5D34"/>
    <w:rsid w:val="00FD67DA"/>
    <w:rsid w:val="00FD7AD4"/>
    <w:rsid w:val="00FE021D"/>
    <w:rsid w:val="00FE18B4"/>
    <w:rsid w:val="00FE1F46"/>
    <w:rsid w:val="00FE24B6"/>
    <w:rsid w:val="00FE2910"/>
    <w:rsid w:val="00FE2ACC"/>
    <w:rsid w:val="00FE3745"/>
    <w:rsid w:val="00FE37AB"/>
    <w:rsid w:val="00FE3B38"/>
    <w:rsid w:val="00FE3F56"/>
    <w:rsid w:val="00FE41DF"/>
    <w:rsid w:val="00FE4942"/>
    <w:rsid w:val="00FE4ECC"/>
    <w:rsid w:val="00FE5964"/>
    <w:rsid w:val="00FF104E"/>
    <w:rsid w:val="00FF10E3"/>
    <w:rsid w:val="00FF1B9E"/>
    <w:rsid w:val="00FF22FE"/>
    <w:rsid w:val="00FF255B"/>
    <w:rsid w:val="00FF3273"/>
    <w:rsid w:val="00FF3A67"/>
    <w:rsid w:val="00FF3BE2"/>
    <w:rsid w:val="00FF4C7A"/>
    <w:rsid w:val="00FF4F40"/>
    <w:rsid w:val="00FF57DA"/>
    <w:rsid w:val="00FF587D"/>
    <w:rsid w:val="00FF6111"/>
    <w:rsid w:val="00FF6E0F"/>
  </w:rsids>
  <m:mathPr>
    <m:mathFont m:val="Cambria Math"/>
    <m:brkBin m:val="before"/>
    <m:brkBinSub m:val="--"/>
    <m:smallFrac m:val="0"/>
    <m:dispDef/>
    <m:lMargin m:val="0"/>
    <m:rMargin m:val="0"/>
    <m:defJc m:val="centerGroup"/>
    <m:wrapIndent m:val="1440"/>
    <m:intLim m:val="subSup"/>
    <m:naryLim m:val="undOvr"/>
  </m:mathPr>
  <w:themeFontLang w:val="id-ID"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3C00FC"/>
  <w15:docId w15:val="{20932B12-7B4C-4504-B4E6-072E7DF91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5A275B"/>
    <w:pPr>
      <w:spacing w:after="0" w:line="240" w:lineRule="auto"/>
      <w:jc w:val="center"/>
    </w:pPr>
    <w:rPr>
      <w:rFonts w:ascii="Arno Pro" w:eastAsia="Calibri" w:hAnsi="Arno Pro" w:cs="Times New Roman"/>
      <w:noProof/>
      <w:sz w:val="20"/>
      <w:lang w:val="en-US"/>
    </w:rPr>
  </w:style>
  <w:style w:type="paragraph" w:styleId="Heading1">
    <w:name w:val="heading 1"/>
    <w:basedOn w:val="Normal"/>
    <w:next w:val="Normal"/>
    <w:link w:val="Heading1Char"/>
    <w:uiPriority w:val="9"/>
    <w:qFormat/>
    <w:rsid w:val="00DA3AAB"/>
    <w:pPr>
      <w:keepNext/>
      <w:keepLines/>
      <w:spacing w:before="240" w:line="259" w:lineRule="auto"/>
      <w:jc w:val="left"/>
      <w:outlineLvl w:val="0"/>
    </w:pPr>
    <w:rPr>
      <w:rFonts w:asciiTheme="majorHAnsi" w:eastAsiaTheme="majorEastAsia" w:hAnsiTheme="majorHAnsi" w:cstheme="majorBidi"/>
      <w:noProof w:val="0"/>
      <w:color w:val="2F5496" w:themeColor="accent1" w:themeShade="BF"/>
      <w:sz w:val="32"/>
      <w:szCs w:val="32"/>
    </w:rPr>
  </w:style>
  <w:style w:type="paragraph" w:styleId="Heading2">
    <w:name w:val="heading 2"/>
    <w:basedOn w:val="Normal"/>
    <w:next w:val="Normal"/>
    <w:link w:val="Heading2Char"/>
    <w:uiPriority w:val="9"/>
    <w:semiHidden/>
    <w:unhideWhenUsed/>
    <w:qFormat/>
    <w:rsid w:val="00B772F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C64057"/>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2A5C94"/>
    <w:pPr>
      <w:autoSpaceDE w:val="0"/>
      <w:autoSpaceDN w:val="0"/>
      <w:adjustRightInd w:val="0"/>
      <w:spacing w:line="288" w:lineRule="auto"/>
      <w:jc w:val="left"/>
      <w:textAlignment w:val="center"/>
    </w:pPr>
    <w:rPr>
      <w:rFonts w:ascii="Calisto MT" w:hAnsi="Calisto MT" w:cs="Calisto MT"/>
      <w:color w:val="000000"/>
      <w:szCs w:val="20"/>
      <w:lang w:val="en-GB"/>
    </w:rPr>
  </w:style>
  <w:style w:type="character" w:styleId="Hyperlink">
    <w:name w:val="Hyperlink"/>
    <w:uiPriority w:val="99"/>
    <w:rsid w:val="002A5C94"/>
    <w:rPr>
      <w:color w:val="0000FF"/>
      <w:w w:val="100"/>
      <w:u w:val="thick" w:color="0000FF"/>
    </w:rPr>
  </w:style>
  <w:style w:type="paragraph" w:styleId="Header">
    <w:name w:val="header"/>
    <w:basedOn w:val="Normal"/>
    <w:link w:val="HeaderChar"/>
    <w:uiPriority w:val="99"/>
    <w:unhideWhenUsed/>
    <w:rsid w:val="002A5C94"/>
    <w:pPr>
      <w:tabs>
        <w:tab w:val="center" w:pos="4513"/>
        <w:tab w:val="right" w:pos="9026"/>
      </w:tabs>
    </w:pPr>
  </w:style>
  <w:style w:type="character" w:customStyle="1" w:styleId="HeaderChar">
    <w:name w:val="Header Char"/>
    <w:basedOn w:val="DefaultParagraphFont"/>
    <w:link w:val="Header"/>
    <w:uiPriority w:val="99"/>
    <w:rsid w:val="002A5C94"/>
    <w:rPr>
      <w:rFonts w:ascii="Arno Pro" w:eastAsia="Calibri" w:hAnsi="Arno Pro" w:cs="Times New Roman"/>
      <w:sz w:val="20"/>
      <w:lang w:val="en-US"/>
    </w:rPr>
  </w:style>
  <w:style w:type="paragraph" w:styleId="Footer">
    <w:name w:val="footer"/>
    <w:basedOn w:val="Normal"/>
    <w:link w:val="FooterChar"/>
    <w:uiPriority w:val="99"/>
    <w:unhideWhenUsed/>
    <w:rsid w:val="002A5C94"/>
    <w:pPr>
      <w:tabs>
        <w:tab w:val="center" w:pos="4513"/>
        <w:tab w:val="right" w:pos="9026"/>
      </w:tabs>
    </w:pPr>
  </w:style>
  <w:style w:type="character" w:customStyle="1" w:styleId="FooterChar">
    <w:name w:val="Footer Char"/>
    <w:basedOn w:val="DefaultParagraphFont"/>
    <w:link w:val="Footer"/>
    <w:uiPriority w:val="99"/>
    <w:rsid w:val="002A5C94"/>
    <w:rPr>
      <w:rFonts w:ascii="Arno Pro" w:eastAsia="Calibri" w:hAnsi="Arno Pro" w:cs="Times New Roman"/>
      <w:sz w:val="20"/>
      <w:lang w:val="en-US"/>
    </w:rPr>
  </w:style>
  <w:style w:type="character" w:customStyle="1" w:styleId="UnresolvedMention1">
    <w:name w:val="Unresolved Mention1"/>
    <w:basedOn w:val="DefaultParagraphFont"/>
    <w:uiPriority w:val="99"/>
    <w:semiHidden/>
    <w:unhideWhenUsed/>
    <w:rsid w:val="00466FC5"/>
    <w:rPr>
      <w:color w:val="605E5C"/>
      <w:shd w:val="clear" w:color="auto" w:fill="E1DFDD"/>
    </w:rPr>
  </w:style>
  <w:style w:type="paragraph" w:styleId="ListParagraph">
    <w:name w:val="List Paragraph"/>
    <w:aliases w:val="Body of text,List Paragraph1,Edit,Sub BAB,spasi 2 taiiii,List Paragraph2,Body of text+1,Body of text+2,Body of text+3,List Paragraph11,Medium Grid 1 - Accent 21,Colorful List - Accent 11,Heading 2 Char1,Char Char,skripsi,Body Text Char1"/>
    <w:basedOn w:val="Normal"/>
    <w:link w:val="ListParagraphChar"/>
    <w:uiPriority w:val="34"/>
    <w:qFormat/>
    <w:rsid w:val="00120EFA"/>
    <w:pPr>
      <w:ind w:left="720"/>
      <w:contextualSpacing/>
    </w:pPr>
  </w:style>
  <w:style w:type="character" w:styleId="CommentReference">
    <w:name w:val="annotation reference"/>
    <w:basedOn w:val="DefaultParagraphFont"/>
    <w:uiPriority w:val="99"/>
    <w:semiHidden/>
    <w:unhideWhenUsed/>
    <w:rsid w:val="009F3C1D"/>
    <w:rPr>
      <w:sz w:val="16"/>
      <w:szCs w:val="16"/>
    </w:rPr>
  </w:style>
  <w:style w:type="paragraph" w:styleId="CommentText">
    <w:name w:val="annotation text"/>
    <w:basedOn w:val="Normal"/>
    <w:link w:val="CommentTextChar"/>
    <w:uiPriority w:val="99"/>
    <w:semiHidden/>
    <w:unhideWhenUsed/>
    <w:rsid w:val="009F3C1D"/>
    <w:rPr>
      <w:szCs w:val="20"/>
    </w:rPr>
  </w:style>
  <w:style w:type="character" w:customStyle="1" w:styleId="CommentTextChar">
    <w:name w:val="Comment Text Char"/>
    <w:basedOn w:val="DefaultParagraphFont"/>
    <w:link w:val="CommentText"/>
    <w:uiPriority w:val="99"/>
    <w:semiHidden/>
    <w:rsid w:val="009F3C1D"/>
    <w:rPr>
      <w:rFonts w:ascii="Arno Pro" w:eastAsia="Calibri" w:hAnsi="Arno Pro" w:cs="Times New Roman"/>
      <w:noProof/>
      <w:sz w:val="20"/>
      <w:szCs w:val="20"/>
      <w:lang w:val="en-US"/>
    </w:rPr>
  </w:style>
  <w:style w:type="paragraph" w:styleId="CommentSubject">
    <w:name w:val="annotation subject"/>
    <w:basedOn w:val="CommentText"/>
    <w:next w:val="CommentText"/>
    <w:link w:val="CommentSubjectChar"/>
    <w:uiPriority w:val="99"/>
    <w:semiHidden/>
    <w:unhideWhenUsed/>
    <w:rsid w:val="009F3C1D"/>
    <w:rPr>
      <w:b/>
      <w:bCs/>
    </w:rPr>
  </w:style>
  <w:style w:type="character" w:customStyle="1" w:styleId="CommentSubjectChar">
    <w:name w:val="Comment Subject Char"/>
    <w:basedOn w:val="CommentTextChar"/>
    <w:link w:val="CommentSubject"/>
    <w:uiPriority w:val="99"/>
    <w:semiHidden/>
    <w:rsid w:val="009F3C1D"/>
    <w:rPr>
      <w:rFonts w:ascii="Arno Pro" w:eastAsia="Calibri" w:hAnsi="Arno Pro" w:cs="Times New Roman"/>
      <w:b/>
      <w:bCs/>
      <w:noProof/>
      <w:sz w:val="20"/>
      <w:szCs w:val="20"/>
      <w:lang w:val="en-US"/>
    </w:rPr>
  </w:style>
  <w:style w:type="paragraph" w:styleId="FootnoteText">
    <w:name w:val="footnote text"/>
    <w:basedOn w:val="Normal"/>
    <w:link w:val="FootnoteTextChar"/>
    <w:uiPriority w:val="99"/>
    <w:semiHidden/>
    <w:unhideWhenUsed/>
    <w:rsid w:val="00B41D02"/>
    <w:rPr>
      <w:szCs w:val="20"/>
    </w:rPr>
  </w:style>
  <w:style w:type="character" w:customStyle="1" w:styleId="FootnoteTextChar">
    <w:name w:val="Footnote Text Char"/>
    <w:basedOn w:val="DefaultParagraphFont"/>
    <w:link w:val="FootnoteText"/>
    <w:uiPriority w:val="99"/>
    <w:semiHidden/>
    <w:rsid w:val="00B41D02"/>
    <w:rPr>
      <w:rFonts w:ascii="Arno Pro" w:eastAsia="Calibri" w:hAnsi="Arno Pro" w:cs="Times New Roman"/>
      <w:noProof/>
      <w:sz w:val="20"/>
      <w:szCs w:val="20"/>
      <w:lang w:val="en-US"/>
    </w:rPr>
  </w:style>
  <w:style w:type="character" w:styleId="FootnoteReference">
    <w:name w:val="footnote reference"/>
    <w:basedOn w:val="DefaultParagraphFont"/>
    <w:uiPriority w:val="99"/>
    <w:semiHidden/>
    <w:unhideWhenUsed/>
    <w:rsid w:val="00B41D02"/>
    <w:rPr>
      <w:vertAlign w:val="superscript"/>
    </w:rPr>
  </w:style>
  <w:style w:type="paragraph" w:styleId="Bibliography">
    <w:name w:val="Bibliography"/>
    <w:basedOn w:val="Normal"/>
    <w:next w:val="Normal"/>
    <w:uiPriority w:val="37"/>
    <w:unhideWhenUsed/>
    <w:rsid w:val="00263B3B"/>
    <w:rPr>
      <w:rFonts w:eastAsia="Arno Pro" w:cs="Arno Pro"/>
      <w:noProof w:val="0"/>
    </w:rPr>
  </w:style>
  <w:style w:type="character" w:customStyle="1" w:styleId="Heading1Char">
    <w:name w:val="Heading 1 Char"/>
    <w:basedOn w:val="DefaultParagraphFont"/>
    <w:link w:val="Heading1"/>
    <w:uiPriority w:val="9"/>
    <w:rsid w:val="00DA3AAB"/>
    <w:rPr>
      <w:rFonts w:asciiTheme="majorHAnsi" w:eastAsiaTheme="majorEastAsia" w:hAnsiTheme="majorHAnsi" w:cstheme="majorBidi"/>
      <w:color w:val="2F5496" w:themeColor="accent1" w:themeShade="BF"/>
      <w:sz w:val="32"/>
      <w:szCs w:val="32"/>
      <w:lang w:val="en-US"/>
    </w:rPr>
  </w:style>
  <w:style w:type="table" w:styleId="TableGrid">
    <w:name w:val="Table Grid"/>
    <w:basedOn w:val="TableNormal"/>
    <w:uiPriority w:val="39"/>
    <w:rsid w:val="00D8578A"/>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39"/>
    <w:qFormat/>
    <w:rsid w:val="005B5A9B"/>
    <w:pPr>
      <w:spacing w:after="0" w:line="240" w:lineRule="auto"/>
    </w:pPr>
    <w:rPr>
      <w:rFonts w:ascii="Times New Roman" w:eastAsia="SimSu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976B5A"/>
    <w:rPr>
      <w:rFonts w:ascii="Tahoma" w:hAnsi="Tahoma" w:cs="Tahoma"/>
      <w:sz w:val="16"/>
      <w:szCs w:val="16"/>
    </w:rPr>
  </w:style>
  <w:style w:type="character" w:customStyle="1" w:styleId="BalloonTextChar">
    <w:name w:val="Balloon Text Char"/>
    <w:basedOn w:val="DefaultParagraphFont"/>
    <w:link w:val="BalloonText"/>
    <w:uiPriority w:val="99"/>
    <w:semiHidden/>
    <w:rsid w:val="00976B5A"/>
    <w:rPr>
      <w:rFonts w:ascii="Tahoma" w:eastAsia="Calibri" w:hAnsi="Tahoma" w:cs="Tahoma"/>
      <w:noProof/>
      <w:sz w:val="16"/>
      <w:szCs w:val="16"/>
      <w:lang w:val="en-US"/>
    </w:rPr>
  </w:style>
  <w:style w:type="paragraph" w:customStyle="1" w:styleId="TableParagraph">
    <w:name w:val="Table Paragraph"/>
    <w:basedOn w:val="Normal"/>
    <w:uiPriority w:val="1"/>
    <w:qFormat/>
    <w:rsid w:val="00F64F15"/>
    <w:pPr>
      <w:widowControl w:val="0"/>
      <w:autoSpaceDE w:val="0"/>
      <w:autoSpaceDN w:val="0"/>
      <w:jc w:val="left"/>
    </w:pPr>
    <w:rPr>
      <w:rFonts w:ascii="Times New Roman" w:eastAsia="Times New Roman" w:hAnsi="Times New Roman"/>
      <w:noProof w:val="0"/>
      <w:sz w:val="22"/>
    </w:rPr>
  </w:style>
  <w:style w:type="character" w:customStyle="1" w:styleId="NoSpacingChar">
    <w:name w:val="No Spacing Char"/>
    <w:link w:val="NoSpacing"/>
    <w:uiPriority w:val="1"/>
    <w:qFormat/>
    <w:locked/>
    <w:rsid w:val="00EC7475"/>
    <w:rPr>
      <w:rFonts w:ascii="DengXian" w:eastAsia="DengXian" w:hAnsi="DengXian" w:cs="Times New Roman"/>
      <w:lang w:val="zh-CN"/>
    </w:rPr>
  </w:style>
  <w:style w:type="paragraph" w:styleId="NoSpacing">
    <w:name w:val="No Spacing"/>
    <w:link w:val="NoSpacingChar"/>
    <w:uiPriority w:val="1"/>
    <w:qFormat/>
    <w:rsid w:val="00EC7475"/>
    <w:pPr>
      <w:spacing w:after="0" w:line="240" w:lineRule="auto"/>
    </w:pPr>
    <w:rPr>
      <w:rFonts w:ascii="DengXian" w:eastAsia="DengXian" w:hAnsi="DengXian" w:cs="Times New Roman"/>
      <w:lang w:val="zh-CN"/>
    </w:rPr>
  </w:style>
  <w:style w:type="character" w:customStyle="1" w:styleId="ListParagraphChar">
    <w:name w:val="List Paragraph Char"/>
    <w:aliases w:val="Body of text Char,List Paragraph1 Char,Edit Char,Sub BAB Char,spasi 2 taiiii Char,List Paragraph2 Char,Body of text+1 Char,Body of text+2 Char,Body of text+3 Char,List Paragraph11 Char,Medium Grid 1 - Accent 21 Char,Char Char Char"/>
    <w:link w:val="ListParagraph"/>
    <w:uiPriority w:val="34"/>
    <w:qFormat/>
    <w:locked/>
    <w:rsid w:val="00EC7475"/>
    <w:rPr>
      <w:rFonts w:ascii="Arno Pro" w:eastAsia="Calibri" w:hAnsi="Arno Pro" w:cs="Times New Roman"/>
      <w:noProof/>
      <w:sz w:val="20"/>
      <w:lang w:val="en-US"/>
    </w:rPr>
  </w:style>
  <w:style w:type="character" w:styleId="UnresolvedMention">
    <w:name w:val="Unresolved Mention"/>
    <w:basedOn w:val="DefaultParagraphFont"/>
    <w:uiPriority w:val="99"/>
    <w:semiHidden/>
    <w:unhideWhenUsed/>
    <w:rsid w:val="00890FB7"/>
    <w:rPr>
      <w:color w:val="808080"/>
      <w:shd w:val="clear" w:color="auto" w:fill="E6E6E6"/>
    </w:rPr>
  </w:style>
  <w:style w:type="character" w:customStyle="1" w:styleId="Heading2Char">
    <w:name w:val="Heading 2 Char"/>
    <w:basedOn w:val="DefaultParagraphFont"/>
    <w:link w:val="Heading2"/>
    <w:uiPriority w:val="9"/>
    <w:semiHidden/>
    <w:rsid w:val="00B772F9"/>
    <w:rPr>
      <w:rFonts w:asciiTheme="majorHAnsi" w:eastAsiaTheme="majorEastAsia" w:hAnsiTheme="majorHAnsi" w:cstheme="majorBidi"/>
      <w:noProof/>
      <w:color w:val="2F5496" w:themeColor="accent1" w:themeShade="BF"/>
      <w:sz w:val="26"/>
      <w:szCs w:val="26"/>
      <w:lang w:val="en-US"/>
    </w:rPr>
  </w:style>
  <w:style w:type="character" w:customStyle="1" w:styleId="Heading3Char">
    <w:name w:val="Heading 3 Char"/>
    <w:basedOn w:val="DefaultParagraphFont"/>
    <w:link w:val="Heading3"/>
    <w:uiPriority w:val="9"/>
    <w:semiHidden/>
    <w:rsid w:val="00C64057"/>
    <w:rPr>
      <w:rFonts w:asciiTheme="majorHAnsi" w:eastAsiaTheme="majorEastAsia" w:hAnsiTheme="majorHAnsi" w:cstheme="majorBidi"/>
      <w:noProof/>
      <w:color w:val="1F3763" w:themeColor="accent1" w:themeShade="7F"/>
      <w:sz w:val="24"/>
      <w:szCs w:val="24"/>
      <w:lang w:val="en-US"/>
    </w:rPr>
  </w:style>
  <w:style w:type="character" w:customStyle="1" w:styleId="animating6ta1u10">
    <w:name w:val="_animating_6ta1u_10"/>
    <w:basedOn w:val="DefaultParagraphFont"/>
    <w:rsid w:val="003830FB"/>
  </w:style>
  <w:style w:type="character" w:styleId="Emphasis">
    <w:name w:val="Emphasis"/>
    <w:basedOn w:val="DefaultParagraphFont"/>
    <w:uiPriority w:val="20"/>
    <w:qFormat/>
    <w:rsid w:val="003830FB"/>
    <w:rPr>
      <w:i/>
      <w:iCs/>
    </w:rPr>
  </w:style>
  <w:style w:type="paragraph" w:styleId="HTMLPreformatted">
    <w:name w:val="HTML Preformatted"/>
    <w:basedOn w:val="Normal"/>
    <w:link w:val="HTMLPreformattedChar"/>
    <w:uiPriority w:val="99"/>
    <w:semiHidden/>
    <w:unhideWhenUsed/>
    <w:rsid w:val="00F85896"/>
    <w:rPr>
      <w:rFonts w:ascii="Consolas" w:hAnsi="Consolas"/>
      <w:szCs w:val="20"/>
    </w:rPr>
  </w:style>
  <w:style w:type="character" w:customStyle="1" w:styleId="HTMLPreformattedChar">
    <w:name w:val="HTML Preformatted Char"/>
    <w:basedOn w:val="DefaultParagraphFont"/>
    <w:link w:val="HTMLPreformatted"/>
    <w:uiPriority w:val="99"/>
    <w:semiHidden/>
    <w:rsid w:val="00F85896"/>
    <w:rPr>
      <w:rFonts w:ascii="Consolas" w:eastAsia="Calibri" w:hAnsi="Consolas" w:cs="Times New Roman"/>
      <w:noProof/>
      <w:sz w:val="20"/>
      <w:szCs w:val="20"/>
      <w:lang w:val="en-US"/>
    </w:rPr>
  </w:style>
  <w:style w:type="paragraph" w:customStyle="1" w:styleId="font-claude-response-body">
    <w:name w:val="font-claude-response-body"/>
    <w:basedOn w:val="Normal"/>
    <w:rsid w:val="00D829C6"/>
    <w:pPr>
      <w:spacing w:before="100" w:beforeAutospacing="1" w:after="100" w:afterAutospacing="1"/>
      <w:jc w:val="left"/>
    </w:pPr>
    <w:rPr>
      <w:rFonts w:ascii="Times New Roman" w:eastAsia="Times New Roman" w:hAnsi="Times New Roman"/>
      <w:noProof w:val="0"/>
      <w:sz w:val="24"/>
      <w:szCs w:val="24"/>
      <w:lang w:val="en-ID" w:eastAsia="ja-JP"/>
    </w:rPr>
  </w:style>
  <w:style w:type="character" w:styleId="Strong">
    <w:name w:val="Strong"/>
    <w:basedOn w:val="DefaultParagraphFont"/>
    <w:uiPriority w:val="22"/>
    <w:qFormat/>
    <w:rsid w:val="00D829C6"/>
    <w:rPr>
      <w:b/>
      <w:bCs/>
    </w:rPr>
  </w:style>
  <w:style w:type="paragraph" w:styleId="Caption">
    <w:name w:val="caption"/>
    <w:basedOn w:val="Normal"/>
    <w:next w:val="Normal"/>
    <w:uiPriority w:val="35"/>
    <w:unhideWhenUsed/>
    <w:qFormat/>
    <w:rsid w:val="00D829C6"/>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914149">
      <w:bodyDiv w:val="1"/>
      <w:marLeft w:val="0"/>
      <w:marRight w:val="0"/>
      <w:marTop w:val="0"/>
      <w:marBottom w:val="0"/>
      <w:divBdr>
        <w:top w:val="none" w:sz="0" w:space="0" w:color="auto"/>
        <w:left w:val="none" w:sz="0" w:space="0" w:color="auto"/>
        <w:bottom w:val="none" w:sz="0" w:space="0" w:color="auto"/>
        <w:right w:val="none" w:sz="0" w:space="0" w:color="auto"/>
      </w:divBdr>
    </w:div>
    <w:div w:id="72703245">
      <w:bodyDiv w:val="1"/>
      <w:marLeft w:val="0"/>
      <w:marRight w:val="0"/>
      <w:marTop w:val="0"/>
      <w:marBottom w:val="0"/>
      <w:divBdr>
        <w:top w:val="none" w:sz="0" w:space="0" w:color="auto"/>
        <w:left w:val="none" w:sz="0" w:space="0" w:color="auto"/>
        <w:bottom w:val="none" w:sz="0" w:space="0" w:color="auto"/>
        <w:right w:val="none" w:sz="0" w:space="0" w:color="auto"/>
      </w:divBdr>
    </w:div>
    <w:div w:id="81148352">
      <w:bodyDiv w:val="1"/>
      <w:marLeft w:val="0"/>
      <w:marRight w:val="0"/>
      <w:marTop w:val="0"/>
      <w:marBottom w:val="0"/>
      <w:divBdr>
        <w:top w:val="none" w:sz="0" w:space="0" w:color="auto"/>
        <w:left w:val="none" w:sz="0" w:space="0" w:color="auto"/>
        <w:bottom w:val="none" w:sz="0" w:space="0" w:color="auto"/>
        <w:right w:val="none" w:sz="0" w:space="0" w:color="auto"/>
      </w:divBdr>
    </w:div>
    <w:div w:id="103160919">
      <w:bodyDiv w:val="1"/>
      <w:marLeft w:val="0"/>
      <w:marRight w:val="0"/>
      <w:marTop w:val="0"/>
      <w:marBottom w:val="0"/>
      <w:divBdr>
        <w:top w:val="none" w:sz="0" w:space="0" w:color="auto"/>
        <w:left w:val="none" w:sz="0" w:space="0" w:color="auto"/>
        <w:bottom w:val="none" w:sz="0" w:space="0" w:color="auto"/>
        <w:right w:val="none" w:sz="0" w:space="0" w:color="auto"/>
      </w:divBdr>
    </w:div>
    <w:div w:id="111478916">
      <w:bodyDiv w:val="1"/>
      <w:marLeft w:val="0"/>
      <w:marRight w:val="0"/>
      <w:marTop w:val="0"/>
      <w:marBottom w:val="0"/>
      <w:divBdr>
        <w:top w:val="none" w:sz="0" w:space="0" w:color="auto"/>
        <w:left w:val="none" w:sz="0" w:space="0" w:color="auto"/>
        <w:bottom w:val="none" w:sz="0" w:space="0" w:color="auto"/>
        <w:right w:val="none" w:sz="0" w:space="0" w:color="auto"/>
      </w:divBdr>
    </w:div>
    <w:div w:id="165093935">
      <w:bodyDiv w:val="1"/>
      <w:marLeft w:val="0"/>
      <w:marRight w:val="0"/>
      <w:marTop w:val="0"/>
      <w:marBottom w:val="0"/>
      <w:divBdr>
        <w:top w:val="none" w:sz="0" w:space="0" w:color="auto"/>
        <w:left w:val="none" w:sz="0" w:space="0" w:color="auto"/>
        <w:bottom w:val="none" w:sz="0" w:space="0" w:color="auto"/>
        <w:right w:val="none" w:sz="0" w:space="0" w:color="auto"/>
      </w:divBdr>
    </w:div>
    <w:div w:id="172578372">
      <w:bodyDiv w:val="1"/>
      <w:marLeft w:val="0"/>
      <w:marRight w:val="0"/>
      <w:marTop w:val="0"/>
      <w:marBottom w:val="0"/>
      <w:divBdr>
        <w:top w:val="none" w:sz="0" w:space="0" w:color="auto"/>
        <w:left w:val="none" w:sz="0" w:space="0" w:color="auto"/>
        <w:bottom w:val="none" w:sz="0" w:space="0" w:color="auto"/>
        <w:right w:val="none" w:sz="0" w:space="0" w:color="auto"/>
      </w:divBdr>
      <w:divsChild>
        <w:div w:id="1963999285">
          <w:marLeft w:val="0"/>
          <w:marRight w:val="0"/>
          <w:marTop w:val="0"/>
          <w:marBottom w:val="0"/>
          <w:divBdr>
            <w:top w:val="none" w:sz="0" w:space="0" w:color="auto"/>
            <w:left w:val="none" w:sz="0" w:space="0" w:color="auto"/>
            <w:bottom w:val="none" w:sz="0" w:space="0" w:color="auto"/>
            <w:right w:val="none" w:sz="0" w:space="0" w:color="auto"/>
          </w:divBdr>
        </w:div>
        <w:div w:id="1077825921">
          <w:marLeft w:val="0"/>
          <w:marRight w:val="0"/>
          <w:marTop w:val="0"/>
          <w:marBottom w:val="0"/>
          <w:divBdr>
            <w:top w:val="none" w:sz="0" w:space="0" w:color="auto"/>
            <w:left w:val="none" w:sz="0" w:space="0" w:color="auto"/>
            <w:bottom w:val="none" w:sz="0" w:space="0" w:color="auto"/>
            <w:right w:val="none" w:sz="0" w:space="0" w:color="auto"/>
          </w:divBdr>
        </w:div>
        <w:div w:id="1886915649">
          <w:marLeft w:val="0"/>
          <w:marRight w:val="0"/>
          <w:marTop w:val="0"/>
          <w:marBottom w:val="0"/>
          <w:divBdr>
            <w:top w:val="none" w:sz="0" w:space="0" w:color="auto"/>
            <w:left w:val="none" w:sz="0" w:space="0" w:color="auto"/>
            <w:bottom w:val="none" w:sz="0" w:space="0" w:color="auto"/>
            <w:right w:val="none" w:sz="0" w:space="0" w:color="auto"/>
          </w:divBdr>
        </w:div>
        <w:div w:id="818230312">
          <w:marLeft w:val="0"/>
          <w:marRight w:val="0"/>
          <w:marTop w:val="0"/>
          <w:marBottom w:val="0"/>
          <w:divBdr>
            <w:top w:val="none" w:sz="0" w:space="0" w:color="auto"/>
            <w:left w:val="none" w:sz="0" w:space="0" w:color="auto"/>
            <w:bottom w:val="none" w:sz="0" w:space="0" w:color="auto"/>
            <w:right w:val="none" w:sz="0" w:space="0" w:color="auto"/>
          </w:divBdr>
        </w:div>
      </w:divsChild>
    </w:div>
    <w:div w:id="198207639">
      <w:bodyDiv w:val="1"/>
      <w:marLeft w:val="0"/>
      <w:marRight w:val="0"/>
      <w:marTop w:val="0"/>
      <w:marBottom w:val="0"/>
      <w:divBdr>
        <w:top w:val="none" w:sz="0" w:space="0" w:color="auto"/>
        <w:left w:val="none" w:sz="0" w:space="0" w:color="auto"/>
        <w:bottom w:val="none" w:sz="0" w:space="0" w:color="auto"/>
        <w:right w:val="none" w:sz="0" w:space="0" w:color="auto"/>
      </w:divBdr>
    </w:div>
    <w:div w:id="223949923">
      <w:bodyDiv w:val="1"/>
      <w:marLeft w:val="0"/>
      <w:marRight w:val="0"/>
      <w:marTop w:val="0"/>
      <w:marBottom w:val="0"/>
      <w:divBdr>
        <w:top w:val="none" w:sz="0" w:space="0" w:color="auto"/>
        <w:left w:val="none" w:sz="0" w:space="0" w:color="auto"/>
        <w:bottom w:val="none" w:sz="0" w:space="0" w:color="auto"/>
        <w:right w:val="none" w:sz="0" w:space="0" w:color="auto"/>
      </w:divBdr>
    </w:div>
    <w:div w:id="250550184">
      <w:bodyDiv w:val="1"/>
      <w:marLeft w:val="0"/>
      <w:marRight w:val="0"/>
      <w:marTop w:val="0"/>
      <w:marBottom w:val="0"/>
      <w:divBdr>
        <w:top w:val="none" w:sz="0" w:space="0" w:color="auto"/>
        <w:left w:val="none" w:sz="0" w:space="0" w:color="auto"/>
        <w:bottom w:val="none" w:sz="0" w:space="0" w:color="auto"/>
        <w:right w:val="none" w:sz="0" w:space="0" w:color="auto"/>
      </w:divBdr>
    </w:div>
    <w:div w:id="266666017">
      <w:bodyDiv w:val="1"/>
      <w:marLeft w:val="0"/>
      <w:marRight w:val="0"/>
      <w:marTop w:val="0"/>
      <w:marBottom w:val="0"/>
      <w:divBdr>
        <w:top w:val="none" w:sz="0" w:space="0" w:color="auto"/>
        <w:left w:val="none" w:sz="0" w:space="0" w:color="auto"/>
        <w:bottom w:val="none" w:sz="0" w:space="0" w:color="auto"/>
        <w:right w:val="none" w:sz="0" w:space="0" w:color="auto"/>
      </w:divBdr>
    </w:div>
    <w:div w:id="274794751">
      <w:bodyDiv w:val="1"/>
      <w:marLeft w:val="0"/>
      <w:marRight w:val="0"/>
      <w:marTop w:val="0"/>
      <w:marBottom w:val="0"/>
      <w:divBdr>
        <w:top w:val="none" w:sz="0" w:space="0" w:color="auto"/>
        <w:left w:val="none" w:sz="0" w:space="0" w:color="auto"/>
        <w:bottom w:val="none" w:sz="0" w:space="0" w:color="auto"/>
        <w:right w:val="none" w:sz="0" w:space="0" w:color="auto"/>
      </w:divBdr>
    </w:div>
    <w:div w:id="277226003">
      <w:bodyDiv w:val="1"/>
      <w:marLeft w:val="0"/>
      <w:marRight w:val="0"/>
      <w:marTop w:val="0"/>
      <w:marBottom w:val="0"/>
      <w:divBdr>
        <w:top w:val="none" w:sz="0" w:space="0" w:color="auto"/>
        <w:left w:val="none" w:sz="0" w:space="0" w:color="auto"/>
        <w:bottom w:val="none" w:sz="0" w:space="0" w:color="auto"/>
        <w:right w:val="none" w:sz="0" w:space="0" w:color="auto"/>
      </w:divBdr>
    </w:div>
    <w:div w:id="290211238">
      <w:bodyDiv w:val="1"/>
      <w:marLeft w:val="0"/>
      <w:marRight w:val="0"/>
      <w:marTop w:val="0"/>
      <w:marBottom w:val="0"/>
      <w:divBdr>
        <w:top w:val="none" w:sz="0" w:space="0" w:color="auto"/>
        <w:left w:val="none" w:sz="0" w:space="0" w:color="auto"/>
        <w:bottom w:val="none" w:sz="0" w:space="0" w:color="auto"/>
        <w:right w:val="none" w:sz="0" w:space="0" w:color="auto"/>
      </w:divBdr>
    </w:div>
    <w:div w:id="294872511">
      <w:bodyDiv w:val="1"/>
      <w:marLeft w:val="0"/>
      <w:marRight w:val="0"/>
      <w:marTop w:val="0"/>
      <w:marBottom w:val="0"/>
      <w:divBdr>
        <w:top w:val="none" w:sz="0" w:space="0" w:color="auto"/>
        <w:left w:val="none" w:sz="0" w:space="0" w:color="auto"/>
        <w:bottom w:val="none" w:sz="0" w:space="0" w:color="auto"/>
        <w:right w:val="none" w:sz="0" w:space="0" w:color="auto"/>
      </w:divBdr>
      <w:divsChild>
        <w:div w:id="752626367">
          <w:marLeft w:val="0"/>
          <w:marRight w:val="0"/>
          <w:marTop w:val="0"/>
          <w:marBottom w:val="0"/>
          <w:divBdr>
            <w:top w:val="none" w:sz="0" w:space="0" w:color="auto"/>
            <w:left w:val="none" w:sz="0" w:space="0" w:color="auto"/>
            <w:bottom w:val="none" w:sz="0" w:space="0" w:color="auto"/>
            <w:right w:val="none" w:sz="0" w:space="0" w:color="auto"/>
          </w:divBdr>
          <w:divsChild>
            <w:div w:id="1959291199">
              <w:marLeft w:val="0"/>
              <w:marRight w:val="0"/>
              <w:marTop w:val="0"/>
              <w:marBottom w:val="0"/>
              <w:divBdr>
                <w:top w:val="none" w:sz="0" w:space="0" w:color="auto"/>
                <w:left w:val="none" w:sz="0" w:space="0" w:color="auto"/>
                <w:bottom w:val="none" w:sz="0" w:space="0" w:color="auto"/>
                <w:right w:val="none" w:sz="0" w:space="0" w:color="auto"/>
              </w:divBdr>
            </w:div>
          </w:divsChild>
        </w:div>
        <w:div w:id="261256579">
          <w:marLeft w:val="0"/>
          <w:marRight w:val="0"/>
          <w:marTop w:val="0"/>
          <w:marBottom w:val="0"/>
          <w:divBdr>
            <w:top w:val="none" w:sz="0" w:space="0" w:color="auto"/>
            <w:left w:val="none" w:sz="0" w:space="0" w:color="auto"/>
            <w:bottom w:val="none" w:sz="0" w:space="0" w:color="auto"/>
            <w:right w:val="none" w:sz="0" w:space="0" w:color="auto"/>
          </w:divBdr>
          <w:divsChild>
            <w:div w:id="1960525989">
              <w:marLeft w:val="0"/>
              <w:marRight w:val="0"/>
              <w:marTop w:val="0"/>
              <w:marBottom w:val="0"/>
              <w:divBdr>
                <w:top w:val="none" w:sz="0" w:space="0" w:color="auto"/>
                <w:left w:val="none" w:sz="0" w:space="0" w:color="auto"/>
                <w:bottom w:val="none" w:sz="0" w:space="0" w:color="auto"/>
                <w:right w:val="none" w:sz="0" w:space="0" w:color="auto"/>
              </w:divBdr>
            </w:div>
          </w:divsChild>
        </w:div>
        <w:div w:id="1323238788">
          <w:marLeft w:val="0"/>
          <w:marRight w:val="0"/>
          <w:marTop w:val="0"/>
          <w:marBottom w:val="0"/>
          <w:divBdr>
            <w:top w:val="none" w:sz="0" w:space="0" w:color="auto"/>
            <w:left w:val="none" w:sz="0" w:space="0" w:color="auto"/>
            <w:bottom w:val="none" w:sz="0" w:space="0" w:color="auto"/>
            <w:right w:val="none" w:sz="0" w:space="0" w:color="auto"/>
          </w:divBdr>
          <w:divsChild>
            <w:div w:id="1037656943">
              <w:marLeft w:val="0"/>
              <w:marRight w:val="0"/>
              <w:marTop w:val="0"/>
              <w:marBottom w:val="0"/>
              <w:divBdr>
                <w:top w:val="none" w:sz="0" w:space="0" w:color="auto"/>
                <w:left w:val="none" w:sz="0" w:space="0" w:color="auto"/>
                <w:bottom w:val="none" w:sz="0" w:space="0" w:color="auto"/>
                <w:right w:val="none" w:sz="0" w:space="0" w:color="auto"/>
              </w:divBdr>
            </w:div>
          </w:divsChild>
        </w:div>
        <w:div w:id="2142114847">
          <w:marLeft w:val="0"/>
          <w:marRight w:val="0"/>
          <w:marTop w:val="0"/>
          <w:marBottom w:val="0"/>
          <w:divBdr>
            <w:top w:val="none" w:sz="0" w:space="0" w:color="auto"/>
            <w:left w:val="none" w:sz="0" w:space="0" w:color="auto"/>
            <w:bottom w:val="none" w:sz="0" w:space="0" w:color="auto"/>
            <w:right w:val="none" w:sz="0" w:space="0" w:color="auto"/>
          </w:divBdr>
          <w:divsChild>
            <w:div w:id="355469763">
              <w:marLeft w:val="0"/>
              <w:marRight w:val="0"/>
              <w:marTop w:val="0"/>
              <w:marBottom w:val="0"/>
              <w:divBdr>
                <w:top w:val="none" w:sz="0" w:space="0" w:color="auto"/>
                <w:left w:val="none" w:sz="0" w:space="0" w:color="auto"/>
                <w:bottom w:val="none" w:sz="0" w:space="0" w:color="auto"/>
                <w:right w:val="none" w:sz="0" w:space="0" w:color="auto"/>
              </w:divBdr>
            </w:div>
          </w:divsChild>
        </w:div>
        <w:div w:id="642974633">
          <w:marLeft w:val="0"/>
          <w:marRight w:val="0"/>
          <w:marTop w:val="0"/>
          <w:marBottom w:val="0"/>
          <w:divBdr>
            <w:top w:val="none" w:sz="0" w:space="0" w:color="auto"/>
            <w:left w:val="none" w:sz="0" w:space="0" w:color="auto"/>
            <w:bottom w:val="none" w:sz="0" w:space="0" w:color="auto"/>
            <w:right w:val="none" w:sz="0" w:space="0" w:color="auto"/>
          </w:divBdr>
          <w:divsChild>
            <w:div w:id="1932472364">
              <w:marLeft w:val="0"/>
              <w:marRight w:val="0"/>
              <w:marTop w:val="0"/>
              <w:marBottom w:val="0"/>
              <w:divBdr>
                <w:top w:val="none" w:sz="0" w:space="0" w:color="auto"/>
                <w:left w:val="none" w:sz="0" w:space="0" w:color="auto"/>
                <w:bottom w:val="none" w:sz="0" w:space="0" w:color="auto"/>
                <w:right w:val="none" w:sz="0" w:space="0" w:color="auto"/>
              </w:divBdr>
            </w:div>
          </w:divsChild>
        </w:div>
        <w:div w:id="2013947522">
          <w:marLeft w:val="0"/>
          <w:marRight w:val="0"/>
          <w:marTop w:val="0"/>
          <w:marBottom w:val="0"/>
          <w:divBdr>
            <w:top w:val="none" w:sz="0" w:space="0" w:color="auto"/>
            <w:left w:val="none" w:sz="0" w:space="0" w:color="auto"/>
            <w:bottom w:val="none" w:sz="0" w:space="0" w:color="auto"/>
            <w:right w:val="none" w:sz="0" w:space="0" w:color="auto"/>
          </w:divBdr>
          <w:divsChild>
            <w:div w:id="36466342">
              <w:marLeft w:val="0"/>
              <w:marRight w:val="0"/>
              <w:marTop w:val="0"/>
              <w:marBottom w:val="0"/>
              <w:divBdr>
                <w:top w:val="none" w:sz="0" w:space="0" w:color="auto"/>
                <w:left w:val="none" w:sz="0" w:space="0" w:color="auto"/>
                <w:bottom w:val="none" w:sz="0" w:space="0" w:color="auto"/>
                <w:right w:val="none" w:sz="0" w:space="0" w:color="auto"/>
              </w:divBdr>
            </w:div>
          </w:divsChild>
        </w:div>
        <w:div w:id="604657193">
          <w:marLeft w:val="0"/>
          <w:marRight w:val="0"/>
          <w:marTop w:val="0"/>
          <w:marBottom w:val="0"/>
          <w:divBdr>
            <w:top w:val="none" w:sz="0" w:space="0" w:color="auto"/>
            <w:left w:val="none" w:sz="0" w:space="0" w:color="auto"/>
            <w:bottom w:val="none" w:sz="0" w:space="0" w:color="auto"/>
            <w:right w:val="none" w:sz="0" w:space="0" w:color="auto"/>
          </w:divBdr>
          <w:divsChild>
            <w:div w:id="732893286">
              <w:marLeft w:val="0"/>
              <w:marRight w:val="0"/>
              <w:marTop w:val="0"/>
              <w:marBottom w:val="0"/>
              <w:divBdr>
                <w:top w:val="none" w:sz="0" w:space="0" w:color="auto"/>
                <w:left w:val="none" w:sz="0" w:space="0" w:color="auto"/>
                <w:bottom w:val="none" w:sz="0" w:space="0" w:color="auto"/>
                <w:right w:val="none" w:sz="0" w:space="0" w:color="auto"/>
              </w:divBdr>
            </w:div>
          </w:divsChild>
        </w:div>
        <w:div w:id="1556307202">
          <w:marLeft w:val="0"/>
          <w:marRight w:val="0"/>
          <w:marTop w:val="0"/>
          <w:marBottom w:val="0"/>
          <w:divBdr>
            <w:top w:val="none" w:sz="0" w:space="0" w:color="auto"/>
            <w:left w:val="none" w:sz="0" w:space="0" w:color="auto"/>
            <w:bottom w:val="none" w:sz="0" w:space="0" w:color="auto"/>
            <w:right w:val="none" w:sz="0" w:space="0" w:color="auto"/>
          </w:divBdr>
          <w:divsChild>
            <w:div w:id="194344564">
              <w:marLeft w:val="0"/>
              <w:marRight w:val="0"/>
              <w:marTop w:val="0"/>
              <w:marBottom w:val="0"/>
              <w:divBdr>
                <w:top w:val="none" w:sz="0" w:space="0" w:color="auto"/>
                <w:left w:val="none" w:sz="0" w:space="0" w:color="auto"/>
                <w:bottom w:val="none" w:sz="0" w:space="0" w:color="auto"/>
                <w:right w:val="none" w:sz="0" w:space="0" w:color="auto"/>
              </w:divBdr>
            </w:div>
          </w:divsChild>
        </w:div>
        <w:div w:id="5526575">
          <w:marLeft w:val="0"/>
          <w:marRight w:val="0"/>
          <w:marTop w:val="0"/>
          <w:marBottom w:val="0"/>
          <w:divBdr>
            <w:top w:val="none" w:sz="0" w:space="0" w:color="auto"/>
            <w:left w:val="none" w:sz="0" w:space="0" w:color="auto"/>
            <w:bottom w:val="none" w:sz="0" w:space="0" w:color="auto"/>
            <w:right w:val="none" w:sz="0" w:space="0" w:color="auto"/>
          </w:divBdr>
          <w:divsChild>
            <w:div w:id="1109854836">
              <w:marLeft w:val="0"/>
              <w:marRight w:val="0"/>
              <w:marTop w:val="0"/>
              <w:marBottom w:val="0"/>
              <w:divBdr>
                <w:top w:val="none" w:sz="0" w:space="0" w:color="auto"/>
                <w:left w:val="none" w:sz="0" w:space="0" w:color="auto"/>
                <w:bottom w:val="none" w:sz="0" w:space="0" w:color="auto"/>
                <w:right w:val="none" w:sz="0" w:space="0" w:color="auto"/>
              </w:divBdr>
            </w:div>
          </w:divsChild>
        </w:div>
        <w:div w:id="1600600245">
          <w:marLeft w:val="0"/>
          <w:marRight w:val="0"/>
          <w:marTop w:val="0"/>
          <w:marBottom w:val="0"/>
          <w:divBdr>
            <w:top w:val="none" w:sz="0" w:space="0" w:color="auto"/>
            <w:left w:val="none" w:sz="0" w:space="0" w:color="auto"/>
            <w:bottom w:val="none" w:sz="0" w:space="0" w:color="auto"/>
            <w:right w:val="none" w:sz="0" w:space="0" w:color="auto"/>
          </w:divBdr>
          <w:divsChild>
            <w:div w:id="719208635">
              <w:marLeft w:val="0"/>
              <w:marRight w:val="0"/>
              <w:marTop w:val="0"/>
              <w:marBottom w:val="0"/>
              <w:divBdr>
                <w:top w:val="none" w:sz="0" w:space="0" w:color="auto"/>
                <w:left w:val="none" w:sz="0" w:space="0" w:color="auto"/>
                <w:bottom w:val="none" w:sz="0" w:space="0" w:color="auto"/>
                <w:right w:val="none" w:sz="0" w:space="0" w:color="auto"/>
              </w:divBdr>
            </w:div>
          </w:divsChild>
        </w:div>
        <w:div w:id="1411388282">
          <w:marLeft w:val="0"/>
          <w:marRight w:val="0"/>
          <w:marTop w:val="0"/>
          <w:marBottom w:val="0"/>
          <w:divBdr>
            <w:top w:val="none" w:sz="0" w:space="0" w:color="auto"/>
            <w:left w:val="none" w:sz="0" w:space="0" w:color="auto"/>
            <w:bottom w:val="none" w:sz="0" w:space="0" w:color="auto"/>
            <w:right w:val="none" w:sz="0" w:space="0" w:color="auto"/>
          </w:divBdr>
          <w:divsChild>
            <w:div w:id="360907274">
              <w:marLeft w:val="0"/>
              <w:marRight w:val="0"/>
              <w:marTop w:val="0"/>
              <w:marBottom w:val="0"/>
              <w:divBdr>
                <w:top w:val="none" w:sz="0" w:space="0" w:color="auto"/>
                <w:left w:val="none" w:sz="0" w:space="0" w:color="auto"/>
                <w:bottom w:val="none" w:sz="0" w:space="0" w:color="auto"/>
                <w:right w:val="none" w:sz="0" w:space="0" w:color="auto"/>
              </w:divBdr>
            </w:div>
          </w:divsChild>
        </w:div>
        <w:div w:id="1714497746">
          <w:marLeft w:val="0"/>
          <w:marRight w:val="0"/>
          <w:marTop w:val="0"/>
          <w:marBottom w:val="0"/>
          <w:divBdr>
            <w:top w:val="none" w:sz="0" w:space="0" w:color="auto"/>
            <w:left w:val="none" w:sz="0" w:space="0" w:color="auto"/>
            <w:bottom w:val="none" w:sz="0" w:space="0" w:color="auto"/>
            <w:right w:val="none" w:sz="0" w:space="0" w:color="auto"/>
          </w:divBdr>
          <w:divsChild>
            <w:div w:id="906376739">
              <w:marLeft w:val="0"/>
              <w:marRight w:val="0"/>
              <w:marTop w:val="0"/>
              <w:marBottom w:val="0"/>
              <w:divBdr>
                <w:top w:val="none" w:sz="0" w:space="0" w:color="auto"/>
                <w:left w:val="none" w:sz="0" w:space="0" w:color="auto"/>
                <w:bottom w:val="none" w:sz="0" w:space="0" w:color="auto"/>
                <w:right w:val="none" w:sz="0" w:space="0" w:color="auto"/>
              </w:divBdr>
            </w:div>
          </w:divsChild>
        </w:div>
        <w:div w:id="2137748760">
          <w:marLeft w:val="0"/>
          <w:marRight w:val="0"/>
          <w:marTop w:val="0"/>
          <w:marBottom w:val="0"/>
          <w:divBdr>
            <w:top w:val="none" w:sz="0" w:space="0" w:color="auto"/>
            <w:left w:val="none" w:sz="0" w:space="0" w:color="auto"/>
            <w:bottom w:val="none" w:sz="0" w:space="0" w:color="auto"/>
            <w:right w:val="none" w:sz="0" w:space="0" w:color="auto"/>
          </w:divBdr>
          <w:divsChild>
            <w:div w:id="502164170">
              <w:marLeft w:val="0"/>
              <w:marRight w:val="0"/>
              <w:marTop w:val="0"/>
              <w:marBottom w:val="0"/>
              <w:divBdr>
                <w:top w:val="none" w:sz="0" w:space="0" w:color="auto"/>
                <w:left w:val="none" w:sz="0" w:space="0" w:color="auto"/>
                <w:bottom w:val="none" w:sz="0" w:space="0" w:color="auto"/>
                <w:right w:val="none" w:sz="0" w:space="0" w:color="auto"/>
              </w:divBdr>
            </w:div>
          </w:divsChild>
        </w:div>
        <w:div w:id="418213703">
          <w:marLeft w:val="0"/>
          <w:marRight w:val="0"/>
          <w:marTop w:val="0"/>
          <w:marBottom w:val="0"/>
          <w:divBdr>
            <w:top w:val="none" w:sz="0" w:space="0" w:color="auto"/>
            <w:left w:val="none" w:sz="0" w:space="0" w:color="auto"/>
            <w:bottom w:val="none" w:sz="0" w:space="0" w:color="auto"/>
            <w:right w:val="none" w:sz="0" w:space="0" w:color="auto"/>
          </w:divBdr>
          <w:divsChild>
            <w:div w:id="982199119">
              <w:marLeft w:val="0"/>
              <w:marRight w:val="0"/>
              <w:marTop w:val="0"/>
              <w:marBottom w:val="0"/>
              <w:divBdr>
                <w:top w:val="none" w:sz="0" w:space="0" w:color="auto"/>
                <w:left w:val="none" w:sz="0" w:space="0" w:color="auto"/>
                <w:bottom w:val="none" w:sz="0" w:space="0" w:color="auto"/>
                <w:right w:val="none" w:sz="0" w:space="0" w:color="auto"/>
              </w:divBdr>
            </w:div>
          </w:divsChild>
        </w:div>
        <w:div w:id="210116856">
          <w:marLeft w:val="0"/>
          <w:marRight w:val="0"/>
          <w:marTop w:val="0"/>
          <w:marBottom w:val="0"/>
          <w:divBdr>
            <w:top w:val="none" w:sz="0" w:space="0" w:color="auto"/>
            <w:left w:val="none" w:sz="0" w:space="0" w:color="auto"/>
            <w:bottom w:val="none" w:sz="0" w:space="0" w:color="auto"/>
            <w:right w:val="none" w:sz="0" w:space="0" w:color="auto"/>
          </w:divBdr>
          <w:divsChild>
            <w:div w:id="713848260">
              <w:marLeft w:val="0"/>
              <w:marRight w:val="0"/>
              <w:marTop w:val="0"/>
              <w:marBottom w:val="0"/>
              <w:divBdr>
                <w:top w:val="none" w:sz="0" w:space="0" w:color="auto"/>
                <w:left w:val="none" w:sz="0" w:space="0" w:color="auto"/>
                <w:bottom w:val="none" w:sz="0" w:space="0" w:color="auto"/>
                <w:right w:val="none" w:sz="0" w:space="0" w:color="auto"/>
              </w:divBdr>
            </w:div>
          </w:divsChild>
        </w:div>
        <w:div w:id="798182218">
          <w:marLeft w:val="0"/>
          <w:marRight w:val="0"/>
          <w:marTop w:val="0"/>
          <w:marBottom w:val="0"/>
          <w:divBdr>
            <w:top w:val="none" w:sz="0" w:space="0" w:color="auto"/>
            <w:left w:val="none" w:sz="0" w:space="0" w:color="auto"/>
            <w:bottom w:val="none" w:sz="0" w:space="0" w:color="auto"/>
            <w:right w:val="none" w:sz="0" w:space="0" w:color="auto"/>
          </w:divBdr>
          <w:divsChild>
            <w:div w:id="1798329818">
              <w:marLeft w:val="0"/>
              <w:marRight w:val="0"/>
              <w:marTop w:val="0"/>
              <w:marBottom w:val="0"/>
              <w:divBdr>
                <w:top w:val="none" w:sz="0" w:space="0" w:color="auto"/>
                <w:left w:val="none" w:sz="0" w:space="0" w:color="auto"/>
                <w:bottom w:val="none" w:sz="0" w:space="0" w:color="auto"/>
                <w:right w:val="none" w:sz="0" w:space="0" w:color="auto"/>
              </w:divBdr>
            </w:div>
          </w:divsChild>
        </w:div>
        <w:div w:id="978069942">
          <w:marLeft w:val="0"/>
          <w:marRight w:val="0"/>
          <w:marTop w:val="0"/>
          <w:marBottom w:val="0"/>
          <w:divBdr>
            <w:top w:val="none" w:sz="0" w:space="0" w:color="auto"/>
            <w:left w:val="none" w:sz="0" w:space="0" w:color="auto"/>
            <w:bottom w:val="none" w:sz="0" w:space="0" w:color="auto"/>
            <w:right w:val="none" w:sz="0" w:space="0" w:color="auto"/>
          </w:divBdr>
          <w:divsChild>
            <w:div w:id="1932272437">
              <w:marLeft w:val="0"/>
              <w:marRight w:val="0"/>
              <w:marTop w:val="0"/>
              <w:marBottom w:val="0"/>
              <w:divBdr>
                <w:top w:val="none" w:sz="0" w:space="0" w:color="auto"/>
                <w:left w:val="none" w:sz="0" w:space="0" w:color="auto"/>
                <w:bottom w:val="none" w:sz="0" w:space="0" w:color="auto"/>
                <w:right w:val="none" w:sz="0" w:space="0" w:color="auto"/>
              </w:divBdr>
            </w:div>
          </w:divsChild>
        </w:div>
        <w:div w:id="1659920655">
          <w:marLeft w:val="0"/>
          <w:marRight w:val="0"/>
          <w:marTop w:val="0"/>
          <w:marBottom w:val="0"/>
          <w:divBdr>
            <w:top w:val="none" w:sz="0" w:space="0" w:color="auto"/>
            <w:left w:val="none" w:sz="0" w:space="0" w:color="auto"/>
            <w:bottom w:val="none" w:sz="0" w:space="0" w:color="auto"/>
            <w:right w:val="none" w:sz="0" w:space="0" w:color="auto"/>
          </w:divBdr>
          <w:divsChild>
            <w:div w:id="1261522138">
              <w:marLeft w:val="0"/>
              <w:marRight w:val="0"/>
              <w:marTop w:val="0"/>
              <w:marBottom w:val="0"/>
              <w:divBdr>
                <w:top w:val="none" w:sz="0" w:space="0" w:color="auto"/>
                <w:left w:val="none" w:sz="0" w:space="0" w:color="auto"/>
                <w:bottom w:val="none" w:sz="0" w:space="0" w:color="auto"/>
                <w:right w:val="none" w:sz="0" w:space="0" w:color="auto"/>
              </w:divBdr>
            </w:div>
          </w:divsChild>
        </w:div>
        <w:div w:id="639656732">
          <w:marLeft w:val="0"/>
          <w:marRight w:val="0"/>
          <w:marTop w:val="0"/>
          <w:marBottom w:val="0"/>
          <w:divBdr>
            <w:top w:val="none" w:sz="0" w:space="0" w:color="auto"/>
            <w:left w:val="none" w:sz="0" w:space="0" w:color="auto"/>
            <w:bottom w:val="none" w:sz="0" w:space="0" w:color="auto"/>
            <w:right w:val="none" w:sz="0" w:space="0" w:color="auto"/>
          </w:divBdr>
          <w:divsChild>
            <w:div w:id="867376578">
              <w:marLeft w:val="0"/>
              <w:marRight w:val="0"/>
              <w:marTop w:val="0"/>
              <w:marBottom w:val="0"/>
              <w:divBdr>
                <w:top w:val="none" w:sz="0" w:space="0" w:color="auto"/>
                <w:left w:val="none" w:sz="0" w:space="0" w:color="auto"/>
                <w:bottom w:val="none" w:sz="0" w:space="0" w:color="auto"/>
                <w:right w:val="none" w:sz="0" w:space="0" w:color="auto"/>
              </w:divBdr>
            </w:div>
          </w:divsChild>
        </w:div>
        <w:div w:id="543106712">
          <w:marLeft w:val="0"/>
          <w:marRight w:val="0"/>
          <w:marTop w:val="0"/>
          <w:marBottom w:val="0"/>
          <w:divBdr>
            <w:top w:val="none" w:sz="0" w:space="0" w:color="auto"/>
            <w:left w:val="none" w:sz="0" w:space="0" w:color="auto"/>
            <w:bottom w:val="none" w:sz="0" w:space="0" w:color="auto"/>
            <w:right w:val="none" w:sz="0" w:space="0" w:color="auto"/>
          </w:divBdr>
          <w:divsChild>
            <w:div w:id="1452240284">
              <w:marLeft w:val="0"/>
              <w:marRight w:val="0"/>
              <w:marTop w:val="0"/>
              <w:marBottom w:val="0"/>
              <w:divBdr>
                <w:top w:val="none" w:sz="0" w:space="0" w:color="auto"/>
                <w:left w:val="none" w:sz="0" w:space="0" w:color="auto"/>
                <w:bottom w:val="none" w:sz="0" w:space="0" w:color="auto"/>
                <w:right w:val="none" w:sz="0" w:space="0" w:color="auto"/>
              </w:divBdr>
            </w:div>
          </w:divsChild>
        </w:div>
        <w:div w:id="1182939600">
          <w:marLeft w:val="0"/>
          <w:marRight w:val="0"/>
          <w:marTop w:val="0"/>
          <w:marBottom w:val="0"/>
          <w:divBdr>
            <w:top w:val="none" w:sz="0" w:space="0" w:color="auto"/>
            <w:left w:val="none" w:sz="0" w:space="0" w:color="auto"/>
            <w:bottom w:val="none" w:sz="0" w:space="0" w:color="auto"/>
            <w:right w:val="none" w:sz="0" w:space="0" w:color="auto"/>
          </w:divBdr>
          <w:divsChild>
            <w:div w:id="538978175">
              <w:marLeft w:val="0"/>
              <w:marRight w:val="0"/>
              <w:marTop w:val="0"/>
              <w:marBottom w:val="0"/>
              <w:divBdr>
                <w:top w:val="none" w:sz="0" w:space="0" w:color="auto"/>
                <w:left w:val="none" w:sz="0" w:space="0" w:color="auto"/>
                <w:bottom w:val="none" w:sz="0" w:space="0" w:color="auto"/>
                <w:right w:val="none" w:sz="0" w:space="0" w:color="auto"/>
              </w:divBdr>
            </w:div>
          </w:divsChild>
        </w:div>
        <w:div w:id="1617061422">
          <w:marLeft w:val="0"/>
          <w:marRight w:val="0"/>
          <w:marTop w:val="0"/>
          <w:marBottom w:val="0"/>
          <w:divBdr>
            <w:top w:val="none" w:sz="0" w:space="0" w:color="auto"/>
            <w:left w:val="none" w:sz="0" w:space="0" w:color="auto"/>
            <w:bottom w:val="none" w:sz="0" w:space="0" w:color="auto"/>
            <w:right w:val="none" w:sz="0" w:space="0" w:color="auto"/>
          </w:divBdr>
          <w:divsChild>
            <w:div w:id="174879544">
              <w:marLeft w:val="0"/>
              <w:marRight w:val="0"/>
              <w:marTop w:val="0"/>
              <w:marBottom w:val="0"/>
              <w:divBdr>
                <w:top w:val="none" w:sz="0" w:space="0" w:color="auto"/>
                <w:left w:val="none" w:sz="0" w:space="0" w:color="auto"/>
                <w:bottom w:val="none" w:sz="0" w:space="0" w:color="auto"/>
                <w:right w:val="none" w:sz="0" w:space="0" w:color="auto"/>
              </w:divBdr>
            </w:div>
          </w:divsChild>
        </w:div>
        <w:div w:id="1643004730">
          <w:marLeft w:val="0"/>
          <w:marRight w:val="0"/>
          <w:marTop w:val="0"/>
          <w:marBottom w:val="0"/>
          <w:divBdr>
            <w:top w:val="none" w:sz="0" w:space="0" w:color="auto"/>
            <w:left w:val="none" w:sz="0" w:space="0" w:color="auto"/>
            <w:bottom w:val="none" w:sz="0" w:space="0" w:color="auto"/>
            <w:right w:val="none" w:sz="0" w:space="0" w:color="auto"/>
          </w:divBdr>
          <w:divsChild>
            <w:div w:id="400055508">
              <w:marLeft w:val="0"/>
              <w:marRight w:val="0"/>
              <w:marTop w:val="0"/>
              <w:marBottom w:val="0"/>
              <w:divBdr>
                <w:top w:val="none" w:sz="0" w:space="0" w:color="auto"/>
                <w:left w:val="none" w:sz="0" w:space="0" w:color="auto"/>
                <w:bottom w:val="none" w:sz="0" w:space="0" w:color="auto"/>
                <w:right w:val="none" w:sz="0" w:space="0" w:color="auto"/>
              </w:divBdr>
            </w:div>
          </w:divsChild>
        </w:div>
        <w:div w:id="348023302">
          <w:marLeft w:val="0"/>
          <w:marRight w:val="0"/>
          <w:marTop w:val="0"/>
          <w:marBottom w:val="0"/>
          <w:divBdr>
            <w:top w:val="none" w:sz="0" w:space="0" w:color="auto"/>
            <w:left w:val="none" w:sz="0" w:space="0" w:color="auto"/>
            <w:bottom w:val="none" w:sz="0" w:space="0" w:color="auto"/>
            <w:right w:val="none" w:sz="0" w:space="0" w:color="auto"/>
          </w:divBdr>
          <w:divsChild>
            <w:div w:id="705371986">
              <w:marLeft w:val="0"/>
              <w:marRight w:val="0"/>
              <w:marTop w:val="0"/>
              <w:marBottom w:val="0"/>
              <w:divBdr>
                <w:top w:val="none" w:sz="0" w:space="0" w:color="auto"/>
                <w:left w:val="none" w:sz="0" w:space="0" w:color="auto"/>
                <w:bottom w:val="none" w:sz="0" w:space="0" w:color="auto"/>
                <w:right w:val="none" w:sz="0" w:space="0" w:color="auto"/>
              </w:divBdr>
            </w:div>
          </w:divsChild>
        </w:div>
        <w:div w:id="180246374">
          <w:marLeft w:val="0"/>
          <w:marRight w:val="0"/>
          <w:marTop w:val="0"/>
          <w:marBottom w:val="0"/>
          <w:divBdr>
            <w:top w:val="none" w:sz="0" w:space="0" w:color="auto"/>
            <w:left w:val="none" w:sz="0" w:space="0" w:color="auto"/>
            <w:bottom w:val="none" w:sz="0" w:space="0" w:color="auto"/>
            <w:right w:val="none" w:sz="0" w:space="0" w:color="auto"/>
          </w:divBdr>
          <w:divsChild>
            <w:div w:id="421882034">
              <w:marLeft w:val="0"/>
              <w:marRight w:val="0"/>
              <w:marTop w:val="0"/>
              <w:marBottom w:val="0"/>
              <w:divBdr>
                <w:top w:val="none" w:sz="0" w:space="0" w:color="auto"/>
                <w:left w:val="none" w:sz="0" w:space="0" w:color="auto"/>
                <w:bottom w:val="none" w:sz="0" w:space="0" w:color="auto"/>
                <w:right w:val="none" w:sz="0" w:space="0" w:color="auto"/>
              </w:divBdr>
            </w:div>
          </w:divsChild>
        </w:div>
        <w:div w:id="295332970">
          <w:marLeft w:val="0"/>
          <w:marRight w:val="0"/>
          <w:marTop w:val="0"/>
          <w:marBottom w:val="0"/>
          <w:divBdr>
            <w:top w:val="none" w:sz="0" w:space="0" w:color="auto"/>
            <w:left w:val="none" w:sz="0" w:space="0" w:color="auto"/>
            <w:bottom w:val="none" w:sz="0" w:space="0" w:color="auto"/>
            <w:right w:val="none" w:sz="0" w:space="0" w:color="auto"/>
          </w:divBdr>
          <w:divsChild>
            <w:div w:id="101194751">
              <w:marLeft w:val="0"/>
              <w:marRight w:val="0"/>
              <w:marTop w:val="0"/>
              <w:marBottom w:val="0"/>
              <w:divBdr>
                <w:top w:val="none" w:sz="0" w:space="0" w:color="auto"/>
                <w:left w:val="none" w:sz="0" w:space="0" w:color="auto"/>
                <w:bottom w:val="none" w:sz="0" w:space="0" w:color="auto"/>
                <w:right w:val="none" w:sz="0" w:space="0" w:color="auto"/>
              </w:divBdr>
            </w:div>
          </w:divsChild>
        </w:div>
        <w:div w:id="780149086">
          <w:marLeft w:val="0"/>
          <w:marRight w:val="0"/>
          <w:marTop w:val="0"/>
          <w:marBottom w:val="0"/>
          <w:divBdr>
            <w:top w:val="none" w:sz="0" w:space="0" w:color="auto"/>
            <w:left w:val="none" w:sz="0" w:space="0" w:color="auto"/>
            <w:bottom w:val="none" w:sz="0" w:space="0" w:color="auto"/>
            <w:right w:val="none" w:sz="0" w:space="0" w:color="auto"/>
          </w:divBdr>
          <w:divsChild>
            <w:div w:id="993409987">
              <w:marLeft w:val="0"/>
              <w:marRight w:val="0"/>
              <w:marTop w:val="0"/>
              <w:marBottom w:val="0"/>
              <w:divBdr>
                <w:top w:val="none" w:sz="0" w:space="0" w:color="auto"/>
                <w:left w:val="none" w:sz="0" w:space="0" w:color="auto"/>
                <w:bottom w:val="none" w:sz="0" w:space="0" w:color="auto"/>
                <w:right w:val="none" w:sz="0" w:space="0" w:color="auto"/>
              </w:divBdr>
            </w:div>
          </w:divsChild>
        </w:div>
        <w:div w:id="424882521">
          <w:marLeft w:val="0"/>
          <w:marRight w:val="0"/>
          <w:marTop w:val="0"/>
          <w:marBottom w:val="0"/>
          <w:divBdr>
            <w:top w:val="none" w:sz="0" w:space="0" w:color="auto"/>
            <w:left w:val="none" w:sz="0" w:space="0" w:color="auto"/>
            <w:bottom w:val="none" w:sz="0" w:space="0" w:color="auto"/>
            <w:right w:val="none" w:sz="0" w:space="0" w:color="auto"/>
          </w:divBdr>
          <w:divsChild>
            <w:div w:id="396705977">
              <w:marLeft w:val="0"/>
              <w:marRight w:val="0"/>
              <w:marTop w:val="0"/>
              <w:marBottom w:val="0"/>
              <w:divBdr>
                <w:top w:val="none" w:sz="0" w:space="0" w:color="auto"/>
                <w:left w:val="none" w:sz="0" w:space="0" w:color="auto"/>
                <w:bottom w:val="none" w:sz="0" w:space="0" w:color="auto"/>
                <w:right w:val="none" w:sz="0" w:space="0" w:color="auto"/>
              </w:divBdr>
            </w:div>
          </w:divsChild>
        </w:div>
        <w:div w:id="280648491">
          <w:marLeft w:val="0"/>
          <w:marRight w:val="0"/>
          <w:marTop w:val="0"/>
          <w:marBottom w:val="0"/>
          <w:divBdr>
            <w:top w:val="none" w:sz="0" w:space="0" w:color="auto"/>
            <w:left w:val="none" w:sz="0" w:space="0" w:color="auto"/>
            <w:bottom w:val="none" w:sz="0" w:space="0" w:color="auto"/>
            <w:right w:val="none" w:sz="0" w:space="0" w:color="auto"/>
          </w:divBdr>
          <w:divsChild>
            <w:div w:id="1272201274">
              <w:marLeft w:val="0"/>
              <w:marRight w:val="0"/>
              <w:marTop w:val="0"/>
              <w:marBottom w:val="0"/>
              <w:divBdr>
                <w:top w:val="none" w:sz="0" w:space="0" w:color="auto"/>
                <w:left w:val="none" w:sz="0" w:space="0" w:color="auto"/>
                <w:bottom w:val="none" w:sz="0" w:space="0" w:color="auto"/>
                <w:right w:val="none" w:sz="0" w:space="0" w:color="auto"/>
              </w:divBdr>
            </w:div>
          </w:divsChild>
        </w:div>
        <w:div w:id="2056655960">
          <w:marLeft w:val="0"/>
          <w:marRight w:val="0"/>
          <w:marTop w:val="0"/>
          <w:marBottom w:val="0"/>
          <w:divBdr>
            <w:top w:val="none" w:sz="0" w:space="0" w:color="auto"/>
            <w:left w:val="none" w:sz="0" w:space="0" w:color="auto"/>
            <w:bottom w:val="none" w:sz="0" w:space="0" w:color="auto"/>
            <w:right w:val="none" w:sz="0" w:space="0" w:color="auto"/>
          </w:divBdr>
          <w:divsChild>
            <w:div w:id="814880392">
              <w:marLeft w:val="0"/>
              <w:marRight w:val="0"/>
              <w:marTop w:val="0"/>
              <w:marBottom w:val="0"/>
              <w:divBdr>
                <w:top w:val="none" w:sz="0" w:space="0" w:color="auto"/>
                <w:left w:val="none" w:sz="0" w:space="0" w:color="auto"/>
                <w:bottom w:val="none" w:sz="0" w:space="0" w:color="auto"/>
                <w:right w:val="none" w:sz="0" w:space="0" w:color="auto"/>
              </w:divBdr>
            </w:div>
          </w:divsChild>
        </w:div>
        <w:div w:id="347365694">
          <w:marLeft w:val="0"/>
          <w:marRight w:val="0"/>
          <w:marTop w:val="0"/>
          <w:marBottom w:val="0"/>
          <w:divBdr>
            <w:top w:val="none" w:sz="0" w:space="0" w:color="auto"/>
            <w:left w:val="none" w:sz="0" w:space="0" w:color="auto"/>
            <w:bottom w:val="none" w:sz="0" w:space="0" w:color="auto"/>
            <w:right w:val="none" w:sz="0" w:space="0" w:color="auto"/>
          </w:divBdr>
          <w:divsChild>
            <w:div w:id="100346126">
              <w:marLeft w:val="0"/>
              <w:marRight w:val="0"/>
              <w:marTop w:val="0"/>
              <w:marBottom w:val="0"/>
              <w:divBdr>
                <w:top w:val="none" w:sz="0" w:space="0" w:color="auto"/>
                <w:left w:val="none" w:sz="0" w:space="0" w:color="auto"/>
                <w:bottom w:val="none" w:sz="0" w:space="0" w:color="auto"/>
                <w:right w:val="none" w:sz="0" w:space="0" w:color="auto"/>
              </w:divBdr>
            </w:div>
          </w:divsChild>
        </w:div>
        <w:div w:id="1676302855">
          <w:marLeft w:val="0"/>
          <w:marRight w:val="0"/>
          <w:marTop w:val="0"/>
          <w:marBottom w:val="0"/>
          <w:divBdr>
            <w:top w:val="none" w:sz="0" w:space="0" w:color="auto"/>
            <w:left w:val="none" w:sz="0" w:space="0" w:color="auto"/>
            <w:bottom w:val="none" w:sz="0" w:space="0" w:color="auto"/>
            <w:right w:val="none" w:sz="0" w:space="0" w:color="auto"/>
          </w:divBdr>
          <w:divsChild>
            <w:div w:id="1044404213">
              <w:marLeft w:val="0"/>
              <w:marRight w:val="0"/>
              <w:marTop w:val="0"/>
              <w:marBottom w:val="0"/>
              <w:divBdr>
                <w:top w:val="none" w:sz="0" w:space="0" w:color="auto"/>
                <w:left w:val="none" w:sz="0" w:space="0" w:color="auto"/>
                <w:bottom w:val="none" w:sz="0" w:space="0" w:color="auto"/>
                <w:right w:val="none" w:sz="0" w:space="0" w:color="auto"/>
              </w:divBdr>
            </w:div>
          </w:divsChild>
        </w:div>
        <w:div w:id="36900169">
          <w:marLeft w:val="0"/>
          <w:marRight w:val="0"/>
          <w:marTop w:val="0"/>
          <w:marBottom w:val="0"/>
          <w:divBdr>
            <w:top w:val="none" w:sz="0" w:space="0" w:color="auto"/>
            <w:left w:val="none" w:sz="0" w:space="0" w:color="auto"/>
            <w:bottom w:val="none" w:sz="0" w:space="0" w:color="auto"/>
            <w:right w:val="none" w:sz="0" w:space="0" w:color="auto"/>
          </w:divBdr>
          <w:divsChild>
            <w:div w:id="1483038563">
              <w:marLeft w:val="0"/>
              <w:marRight w:val="0"/>
              <w:marTop w:val="0"/>
              <w:marBottom w:val="0"/>
              <w:divBdr>
                <w:top w:val="none" w:sz="0" w:space="0" w:color="auto"/>
                <w:left w:val="none" w:sz="0" w:space="0" w:color="auto"/>
                <w:bottom w:val="none" w:sz="0" w:space="0" w:color="auto"/>
                <w:right w:val="none" w:sz="0" w:space="0" w:color="auto"/>
              </w:divBdr>
            </w:div>
          </w:divsChild>
        </w:div>
        <w:div w:id="1749498033">
          <w:marLeft w:val="0"/>
          <w:marRight w:val="0"/>
          <w:marTop w:val="0"/>
          <w:marBottom w:val="0"/>
          <w:divBdr>
            <w:top w:val="none" w:sz="0" w:space="0" w:color="auto"/>
            <w:left w:val="none" w:sz="0" w:space="0" w:color="auto"/>
            <w:bottom w:val="none" w:sz="0" w:space="0" w:color="auto"/>
            <w:right w:val="none" w:sz="0" w:space="0" w:color="auto"/>
          </w:divBdr>
          <w:divsChild>
            <w:div w:id="595210403">
              <w:marLeft w:val="0"/>
              <w:marRight w:val="0"/>
              <w:marTop w:val="0"/>
              <w:marBottom w:val="0"/>
              <w:divBdr>
                <w:top w:val="none" w:sz="0" w:space="0" w:color="auto"/>
                <w:left w:val="none" w:sz="0" w:space="0" w:color="auto"/>
                <w:bottom w:val="none" w:sz="0" w:space="0" w:color="auto"/>
                <w:right w:val="none" w:sz="0" w:space="0" w:color="auto"/>
              </w:divBdr>
            </w:div>
          </w:divsChild>
        </w:div>
        <w:div w:id="1868594693">
          <w:marLeft w:val="0"/>
          <w:marRight w:val="0"/>
          <w:marTop w:val="0"/>
          <w:marBottom w:val="0"/>
          <w:divBdr>
            <w:top w:val="none" w:sz="0" w:space="0" w:color="auto"/>
            <w:left w:val="none" w:sz="0" w:space="0" w:color="auto"/>
            <w:bottom w:val="none" w:sz="0" w:space="0" w:color="auto"/>
            <w:right w:val="none" w:sz="0" w:space="0" w:color="auto"/>
          </w:divBdr>
          <w:divsChild>
            <w:div w:id="1991790267">
              <w:marLeft w:val="0"/>
              <w:marRight w:val="0"/>
              <w:marTop w:val="0"/>
              <w:marBottom w:val="0"/>
              <w:divBdr>
                <w:top w:val="none" w:sz="0" w:space="0" w:color="auto"/>
                <w:left w:val="none" w:sz="0" w:space="0" w:color="auto"/>
                <w:bottom w:val="none" w:sz="0" w:space="0" w:color="auto"/>
                <w:right w:val="none" w:sz="0" w:space="0" w:color="auto"/>
              </w:divBdr>
            </w:div>
          </w:divsChild>
        </w:div>
        <w:div w:id="2013221328">
          <w:marLeft w:val="0"/>
          <w:marRight w:val="0"/>
          <w:marTop w:val="0"/>
          <w:marBottom w:val="0"/>
          <w:divBdr>
            <w:top w:val="none" w:sz="0" w:space="0" w:color="auto"/>
            <w:left w:val="none" w:sz="0" w:space="0" w:color="auto"/>
            <w:bottom w:val="none" w:sz="0" w:space="0" w:color="auto"/>
            <w:right w:val="none" w:sz="0" w:space="0" w:color="auto"/>
          </w:divBdr>
          <w:divsChild>
            <w:div w:id="759184598">
              <w:marLeft w:val="0"/>
              <w:marRight w:val="0"/>
              <w:marTop w:val="0"/>
              <w:marBottom w:val="0"/>
              <w:divBdr>
                <w:top w:val="none" w:sz="0" w:space="0" w:color="auto"/>
                <w:left w:val="none" w:sz="0" w:space="0" w:color="auto"/>
                <w:bottom w:val="none" w:sz="0" w:space="0" w:color="auto"/>
                <w:right w:val="none" w:sz="0" w:space="0" w:color="auto"/>
              </w:divBdr>
            </w:div>
          </w:divsChild>
        </w:div>
        <w:div w:id="2064015624">
          <w:marLeft w:val="0"/>
          <w:marRight w:val="0"/>
          <w:marTop w:val="0"/>
          <w:marBottom w:val="0"/>
          <w:divBdr>
            <w:top w:val="none" w:sz="0" w:space="0" w:color="auto"/>
            <w:left w:val="none" w:sz="0" w:space="0" w:color="auto"/>
            <w:bottom w:val="none" w:sz="0" w:space="0" w:color="auto"/>
            <w:right w:val="none" w:sz="0" w:space="0" w:color="auto"/>
          </w:divBdr>
          <w:divsChild>
            <w:div w:id="692732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955683">
      <w:bodyDiv w:val="1"/>
      <w:marLeft w:val="0"/>
      <w:marRight w:val="0"/>
      <w:marTop w:val="0"/>
      <w:marBottom w:val="0"/>
      <w:divBdr>
        <w:top w:val="none" w:sz="0" w:space="0" w:color="auto"/>
        <w:left w:val="none" w:sz="0" w:space="0" w:color="auto"/>
        <w:bottom w:val="none" w:sz="0" w:space="0" w:color="auto"/>
        <w:right w:val="none" w:sz="0" w:space="0" w:color="auto"/>
      </w:divBdr>
    </w:div>
    <w:div w:id="408037208">
      <w:bodyDiv w:val="1"/>
      <w:marLeft w:val="0"/>
      <w:marRight w:val="0"/>
      <w:marTop w:val="0"/>
      <w:marBottom w:val="0"/>
      <w:divBdr>
        <w:top w:val="none" w:sz="0" w:space="0" w:color="auto"/>
        <w:left w:val="none" w:sz="0" w:space="0" w:color="auto"/>
        <w:bottom w:val="none" w:sz="0" w:space="0" w:color="auto"/>
        <w:right w:val="none" w:sz="0" w:space="0" w:color="auto"/>
      </w:divBdr>
    </w:div>
    <w:div w:id="411200374">
      <w:bodyDiv w:val="1"/>
      <w:marLeft w:val="0"/>
      <w:marRight w:val="0"/>
      <w:marTop w:val="0"/>
      <w:marBottom w:val="0"/>
      <w:divBdr>
        <w:top w:val="none" w:sz="0" w:space="0" w:color="auto"/>
        <w:left w:val="none" w:sz="0" w:space="0" w:color="auto"/>
        <w:bottom w:val="none" w:sz="0" w:space="0" w:color="auto"/>
        <w:right w:val="none" w:sz="0" w:space="0" w:color="auto"/>
      </w:divBdr>
    </w:div>
    <w:div w:id="489298021">
      <w:bodyDiv w:val="1"/>
      <w:marLeft w:val="0"/>
      <w:marRight w:val="0"/>
      <w:marTop w:val="0"/>
      <w:marBottom w:val="0"/>
      <w:divBdr>
        <w:top w:val="none" w:sz="0" w:space="0" w:color="auto"/>
        <w:left w:val="none" w:sz="0" w:space="0" w:color="auto"/>
        <w:bottom w:val="none" w:sz="0" w:space="0" w:color="auto"/>
        <w:right w:val="none" w:sz="0" w:space="0" w:color="auto"/>
      </w:divBdr>
    </w:div>
    <w:div w:id="492531823">
      <w:bodyDiv w:val="1"/>
      <w:marLeft w:val="0"/>
      <w:marRight w:val="0"/>
      <w:marTop w:val="0"/>
      <w:marBottom w:val="0"/>
      <w:divBdr>
        <w:top w:val="none" w:sz="0" w:space="0" w:color="auto"/>
        <w:left w:val="none" w:sz="0" w:space="0" w:color="auto"/>
        <w:bottom w:val="none" w:sz="0" w:space="0" w:color="auto"/>
        <w:right w:val="none" w:sz="0" w:space="0" w:color="auto"/>
      </w:divBdr>
    </w:div>
    <w:div w:id="516846964">
      <w:bodyDiv w:val="1"/>
      <w:marLeft w:val="0"/>
      <w:marRight w:val="0"/>
      <w:marTop w:val="0"/>
      <w:marBottom w:val="0"/>
      <w:divBdr>
        <w:top w:val="none" w:sz="0" w:space="0" w:color="auto"/>
        <w:left w:val="none" w:sz="0" w:space="0" w:color="auto"/>
        <w:bottom w:val="none" w:sz="0" w:space="0" w:color="auto"/>
        <w:right w:val="none" w:sz="0" w:space="0" w:color="auto"/>
      </w:divBdr>
    </w:div>
    <w:div w:id="532229663">
      <w:bodyDiv w:val="1"/>
      <w:marLeft w:val="0"/>
      <w:marRight w:val="0"/>
      <w:marTop w:val="0"/>
      <w:marBottom w:val="0"/>
      <w:divBdr>
        <w:top w:val="none" w:sz="0" w:space="0" w:color="auto"/>
        <w:left w:val="none" w:sz="0" w:space="0" w:color="auto"/>
        <w:bottom w:val="none" w:sz="0" w:space="0" w:color="auto"/>
        <w:right w:val="none" w:sz="0" w:space="0" w:color="auto"/>
      </w:divBdr>
    </w:div>
    <w:div w:id="569736479">
      <w:bodyDiv w:val="1"/>
      <w:marLeft w:val="0"/>
      <w:marRight w:val="0"/>
      <w:marTop w:val="0"/>
      <w:marBottom w:val="0"/>
      <w:divBdr>
        <w:top w:val="none" w:sz="0" w:space="0" w:color="auto"/>
        <w:left w:val="none" w:sz="0" w:space="0" w:color="auto"/>
        <w:bottom w:val="none" w:sz="0" w:space="0" w:color="auto"/>
        <w:right w:val="none" w:sz="0" w:space="0" w:color="auto"/>
      </w:divBdr>
    </w:div>
    <w:div w:id="574632039">
      <w:bodyDiv w:val="1"/>
      <w:marLeft w:val="0"/>
      <w:marRight w:val="0"/>
      <w:marTop w:val="0"/>
      <w:marBottom w:val="0"/>
      <w:divBdr>
        <w:top w:val="none" w:sz="0" w:space="0" w:color="auto"/>
        <w:left w:val="none" w:sz="0" w:space="0" w:color="auto"/>
        <w:bottom w:val="none" w:sz="0" w:space="0" w:color="auto"/>
        <w:right w:val="none" w:sz="0" w:space="0" w:color="auto"/>
      </w:divBdr>
    </w:div>
    <w:div w:id="582765679">
      <w:bodyDiv w:val="1"/>
      <w:marLeft w:val="0"/>
      <w:marRight w:val="0"/>
      <w:marTop w:val="0"/>
      <w:marBottom w:val="0"/>
      <w:divBdr>
        <w:top w:val="none" w:sz="0" w:space="0" w:color="auto"/>
        <w:left w:val="none" w:sz="0" w:space="0" w:color="auto"/>
        <w:bottom w:val="none" w:sz="0" w:space="0" w:color="auto"/>
        <w:right w:val="none" w:sz="0" w:space="0" w:color="auto"/>
      </w:divBdr>
    </w:div>
    <w:div w:id="604844457">
      <w:bodyDiv w:val="1"/>
      <w:marLeft w:val="0"/>
      <w:marRight w:val="0"/>
      <w:marTop w:val="0"/>
      <w:marBottom w:val="0"/>
      <w:divBdr>
        <w:top w:val="none" w:sz="0" w:space="0" w:color="auto"/>
        <w:left w:val="none" w:sz="0" w:space="0" w:color="auto"/>
        <w:bottom w:val="none" w:sz="0" w:space="0" w:color="auto"/>
        <w:right w:val="none" w:sz="0" w:space="0" w:color="auto"/>
      </w:divBdr>
    </w:div>
    <w:div w:id="619149706">
      <w:bodyDiv w:val="1"/>
      <w:marLeft w:val="0"/>
      <w:marRight w:val="0"/>
      <w:marTop w:val="0"/>
      <w:marBottom w:val="0"/>
      <w:divBdr>
        <w:top w:val="none" w:sz="0" w:space="0" w:color="auto"/>
        <w:left w:val="none" w:sz="0" w:space="0" w:color="auto"/>
        <w:bottom w:val="none" w:sz="0" w:space="0" w:color="auto"/>
        <w:right w:val="none" w:sz="0" w:space="0" w:color="auto"/>
      </w:divBdr>
    </w:div>
    <w:div w:id="674920440">
      <w:bodyDiv w:val="1"/>
      <w:marLeft w:val="0"/>
      <w:marRight w:val="0"/>
      <w:marTop w:val="0"/>
      <w:marBottom w:val="0"/>
      <w:divBdr>
        <w:top w:val="none" w:sz="0" w:space="0" w:color="auto"/>
        <w:left w:val="none" w:sz="0" w:space="0" w:color="auto"/>
        <w:bottom w:val="none" w:sz="0" w:space="0" w:color="auto"/>
        <w:right w:val="none" w:sz="0" w:space="0" w:color="auto"/>
      </w:divBdr>
      <w:divsChild>
        <w:div w:id="800418754">
          <w:marLeft w:val="0"/>
          <w:marRight w:val="0"/>
          <w:marTop w:val="0"/>
          <w:marBottom w:val="0"/>
          <w:divBdr>
            <w:top w:val="none" w:sz="0" w:space="0" w:color="auto"/>
            <w:left w:val="none" w:sz="0" w:space="0" w:color="auto"/>
            <w:bottom w:val="none" w:sz="0" w:space="0" w:color="auto"/>
            <w:right w:val="none" w:sz="0" w:space="0" w:color="auto"/>
          </w:divBdr>
        </w:div>
      </w:divsChild>
    </w:div>
    <w:div w:id="715661723">
      <w:bodyDiv w:val="1"/>
      <w:marLeft w:val="0"/>
      <w:marRight w:val="0"/>
      <w:marTop w:val="0"/>
      <w:marBottom w:val="0"/>
      <w:divBdr>
        <w:top w:val="none" w:sz="0" w:space="0" w:color="auto"/>
        <w:left w:val="none" w:sz="0" w:space="0" w:color="auto"/>
        <w:bottom w:val="none" w:sz="0" w:space="0" w:color="auto"/>
        <w:right w:val="none" w:sz="0" w:space="0" w:color="auto"/>
      </w:divBdr>
    </w:div>
    <w:div w:id="763301549">
      <w:bodyDiv w:val="1"/>
      <w:marLeft w:val="0"/>
      <w:marRight w:val="0"/>
      <w:marTop w:val="0"/>
      <w:marBottom w:val="0"/>
      <w:divBdr>
        <w:top w:val="none" w:sz="0" w:space="0" w:color="auto"/>
        <w:left w:val="none" w:sz="0" w:space="0" w:color="auto"/>
        <w:bottom w:val="none" w:sz="0" w:space="0" w:color="auto"/>
        <w:right w:val="none" w:sz="0" w:space="0" w:color="auto"/>
      </w:divBdr>
    </w:div>
    <w:div w:id="833882789">
      <w:bodyDiv w:val="1"/>
      <w:marLeft w:val="0"/>
      <w:marRight w:val="0"/>
      <w:marTop w:val="0"/>
      <w:marBottom w:val="0"/>
      <w:divBdr>
        <w:top w:val="none" w:sz="0" w:space="0" w:color="auto"/>
        <w:left w:val="none" w:sz="0" w:space="0" w:color="auto"/>
        <w:bottom w:val="none" w:sz="0" w:space="0" w:color="auto"/>
        <w:right w:val="none" w:sz="0" w:space="0" w:color="auto"/>
      </w:divBdr>
      <w:divsChild>
        <w:div w:id="1771660652">
          <w:marLeft w:val="0"/>
          <w:marRight w:val="0"/>
          <w:marTop w:val="0"/>
          <w:marBottom w:val="0"/>
          <w:divBdr>
            <w:top w:val="none" w:sz="0" w:space="0" w:color="auto"/>
            <w:left w:val="none" w:sz="0" w:space="0" w:color="auto"/>
            <w:bottom w:val="none" w:sz="0" w:space="0" w:color="auto"/>
            <w:right w:val="none" w:sz="0" w:space="0" w:color="auto"/>
          </w:divBdr>
        </w:div>
        <w:div w:id="679621350">
          <w:marLeft w:val="0"/>
          <w:marRight w:val="0"/>
          <w:marTop w:val="0"/>
          <w:marBottom w:val="0"/>
          <w:divBdr>
            <w:top w:val="none" w:sz="0" w:space="0" w:color="auto"/>
            <w:left w:val="none" w:sz="0" w:space="0" w:color="auto"/>
            <w:bottom w:val="none" w:sz="0" w:space="0" w:color="auto"/>
            <w:right w:val="none" w:sz="0" w:space="0" w:color="auto"/>
          </w:divBdr>
        </w:div>
      </w:divsChild>
    </w:div>
    <w:div w:id="842013919">
      <w:bodyDiv w:val="1"/>
      <w:marLeft w:val="0"/>
      <w:marRight w:val="0"/>
      <w:marTop w:val="0"/>
      <w:marBottom w:val="0"/>
      <w:divBdr>
        <w:top w:val="none" w:sz="0" w:space="0" w:color="auto"/>
        <w:left w:val="none" w:sz="0" w:space="0" w:color="auto"/>
        <w:bottom w:val="none" w:sz="0" w:space="0" w:color="auto"/>
        <w:right w:val="none" w:sz="0" w:space="0" w:color="auto"/>
      </w:divBdr>
      <w:divsChild>
        <w:div w:id="757294174">
          <w:marLeft w:val="0"/>
          <w:marRight w:val="0"/>
          <w:marTop w:val="0"/>
          <w:marBottom w:val="0"/>
          <w:divBdr>
            <w:top w:val="none" w:sz="0" w:space="0" w:color="auto"/>
            <w:left w:val="none" w:sz="0" w:space="0" w:color="auto"/>
            <w:bottom w:val="none" w:sz="0" w:space="0" w:color="auto"/>
            <w:right w:val="none" w:sz="0" w:space="0" w:color="auto"/>
          </w:divBdr>
          <w:divsChild>
            <w:div w:id="1325743072">
              <w:marLeft w:val="0"/>
              <w:marRight w:val="0"/>
              <w:marTop w:val="0"/>
              <w:marBottom w:val="0"/>
              <w:divBdr>
                <w:top w:val="none" w:sz="0" w:space="0" w:color="auto"/>
                <w:left w:val="none" w:sz="0" w:space="0" w:color="auto"/>
                <w:bottom w:val="none" w:sz="0" w:space="0" w:color="auto"/>
                <w:right w:val="none" w:sz="0" w:space="0" w:color="auto"/>
              </w:divBdr>
            </w:div>
          </w:divsChild>
        </w:div>
        <w:div w:id="909313304">
          <w:marLeft w:val="0"/>
          <w:marRight w:val="0"/>
          <w:marTop w:val="0"/>
          <w:marBottom w:val="0"/>
          <w:divBdr>
            <w:top w:val="none" w:sz="0" w:space="0" w:color="auto"/>
            <w:left w:val="none" w:sz="0" w:space="0" w:color="auto"/>
            <w:bottom w:val="none" w:sz="0" w:space="0" w:color="auto"/>
            <w:right w:val="none" w:sz="0" w:space="0" w:color="auto"/>
          </w:divBdr>
          <w:divsChild>
            <w:div w:id="469133811">
              <w:marLeft w:val="0"/>
              <w:marRight w:val="0"/>
              <w:marTop w:val="0"/>
              <w:marBottom w:val="0"/>
              <w:divBdr>
                <w:top w:val="none" w:sz="0" w:space="0" w:color="auto"/>
                <w:left w:val="none" w:sz="0" w:space="0" w:color="auto"/>
                <w:bottom w:val="none" w:sz="0" w:space="0" w:color="auto"/>
                <w:right w:val="none" w:sz="0" w:space="0" w:color="auto"/>
              </w:divBdr>
            </w:div>
          </w:divsChild>
        </w:div>
        <w:div w:id="1101727072">
          <w:marLeft w:val="0"/>
          <w:marRight w:val="0"/>
          <w:marTop w:val="0"/>
          <w:marBottom w:val="0"/>
          <w:divBdr>
            <w:top w:val="none" w:sz="0" w:space="0" w:color="auto"/>
            <w:left w:val="none" w:sz="0" w:space="0" w:color="auto"/>
            <w:bottom w:val="none" w:sz="0" w:space="0" w:color="auto"/>
            <w:right w:val="none" w:sz="0" w:space="0" w:color="auto"/>
          </w:divBdr>
          <w:divsChild>
            <w:div w:id="2228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511471">
      <w:bodyDiv w:val="1"/>
      <w:marLeft w:val="0"/>
      <w:marRight w:val="0"/>
      <w:marTop w:val="0"/>
      <w:marBottom w:val="0"/>
      <w:divBdr>
        <w:top w:val="none" w:sz="0" w:space="0" w:color="auto"/>
        <w:left w:val="none" w:sz="0" w:space="0" w:color="auto"/>
        <w:bottom w:val="none" w:sz="0" w:space="0" w:color="auto"/>
        <w:right w:val="none" w:sz="0" w:space="0" w:color="auto"/>
      </w:divBdr>
    </w:div>
    <w:div w:id="853037165">
      <w:bodyDiv w:val="1"/>
      <w:marLeft w:val="0"/>
      <w:marRight w:val="0"/>
      <w:marTop w:val="0"/>
      <w:marBottom w:val="0"/>
      <w:divBdr>
        <w:top w:val="none" w:sz="0" w:space="0" w:color="auto"/>
        <w:left w:val="none" w:sz="0" w:space="0" w:color="auto"/>
        <w:bottom w:val="none" w:sz="0" w:space="0" w:color="auto"/>
        <w:right w:val="none" w:sz="0" w:space="0" w:color="auto"/>
      </w:divBdr>
    </w:div>
    <w:div w:id="877744458">
      <w:bodyDiv w:val="1"/>
      <w:marLeft w:val="0"/>
      <w:marRight w:val="0"/>
      <w:marTop w:val="0"/>
      <w:marBottom w:val="0"/>
      <w:divBdr>
        <w:top w:val="none" w:sz="0" w:space="0" w:color="auto"/>
        <w:left w:val="none" w:sz="0" w:space="0" w:color="auto"/>
        <w:bottom w:val="none" w:sz="0" w:space="0" w:color="auto"/>
        <w:right w:val="none" w:sz="0" w:space="0" w:color="auto"/>
      </w:divBdr>
    </w:div>
    <w:div w:id="923489055">
      <w:bodyDiv w:val="1"/>
      <w:marLeft w:val="0"/>
      <w:marRight w:val="0"/>
      <w:marTop w:val="0"/>
      <w:marBottom w:val="0"/>
      <w:divBdr>
        <w:top w:val="none" w:sz="0" w:space="0" w:color="auto"/>
        <w:left w:val="none" w:sz="0" w:space="0" w:color="auto"/>
        <w:bottom w:val="none" w:sz="0" w:space="0" w:color="auto"/>
        <w:right w:val="none" w:sz="0" w:space="0" w:color="auto"/>
      </w:divBdr>
    </w:div>
    <w:div w:id="940528890">
      <w:bodyDiv w:val="1"/>
      <w:marLeft w:val="0"/>
      <w:marRight w:val="0"/>
      <w:marTop w:val="0"/>
      <w:marBottom w:val="0"/>
      <w:divBdr>
        <w:top w:val="none" w:sz="0" w:space="0" w:color="auto"/>
        <w:left w:val="none" w:sz="0" w:space="0" w:color="auto"/>
        <w:bottom w:val="none" w:sz="0" w:space="0" w:color="auto"/>
        <w:right w:val="none" w:sz="0" w:space="0" w:color="auto"/>
      </w:divBdr>
    </w:div>
    <w:div w:id="970864957">
      <w:bodyDiv w:val="1"/>
      <w:marLeft w:val="0"/>
      <w:marRight w:val="0"/>
      <w:marTop w:val="0"/>
      <w:marBottom w:val="0"/>
      <w:divBdr>
        <w:top w:val="none" w:sz="0" w:space="0" w:color="auto"/>
        <w:left w:val="none" w:sz="0" w:space="0" w:color="auto"/>
        <w:bottom w:val="none" w:sz="0" w:space="0" w:color="auto"/>
        <w:right w:val="none" w:sz="0" w:space="0" w:color="auto"/>
      </w:divBdr>
    </w:div>
    <w:div w:id="1031564588">
      <w:bodyDiv w:val="1"/>
      <w:marLeft w:val="0"/>
      <w:marRight w:val="0"/>
      <w:marTop w:val="0"/>
      <w:marBottom w:val="0"/>
      <w:divBdr>
        <w:top w:val="none" w:sz="0" w:space="0" w:color="auto"/>
        <w:left w:val="none" w:sz="0" w:space="0" w:color="auto"/>
        <w:bottom w:val="none" w:sz="0" w:space="0" w:color="auto"/>
        <w:right w:val="none" w:sz="0" w:space="0" w:color="auto"/>
      </w:divBdr>
    </w:div>
    <w:div w:id="1115948570">
      <w:bodyDiv w:val="1"/>
      <w:marLeft w:val="0"/>
      <w:marRight w:val="0"/>
      <w:marTop w:val="0"/>
      <w:marBottom w:val="0"/>
      <w:divBdr>
        <w:top w:val="none" w:sz="0" w:space="0" w:color="auto"/>
        <w:left w:val="none" w:sz="0" w:space="0" w:color="auto"/>
        <w:bottom w:val="none" w:sz="0" w:space="0" w:color="auto"/>
        <w:right w:val="none" w:sz="0" w:space="0" w:color="auto"/>
      </w:divBdr>
    </w:div>
    <w:div w:id="1152872845">
      <w:bodyDiv w:val="1"/>
      <w:marLeft w:val="0"/>
      <w:marRight w:val="0"/>
      <w:marTop w:val="0"/>
      <w:marBottom w:val="0"/>
      <w:divBdr>
        <w:top w:val="none" w:sz="0" w:space="0" w:color="auto"/>
        <w:left w:val="none" w:sz="0" w:space="0" w:color="auto"/>
        <w:bottom w:val="none" w:sz="0" w:space="0" w:color="auto"/>
        <w:right w:val="none" w:sz="0" w:space="0" w:color="auto"/>
      </w:divBdr>
      <w:divsChild>
        <w:div w:id="177740705">
          <w:marLeft w:val="0"/>
          <w:marRight w:val="0"/>
          <w:marTop w:val="0"/>
          <w:marBottom w:val="0"/>
          <w:divBdr>
            <w:top w:val="none" w:sz="0" w:space="0" w:color="auto"/>
            <w:left w:val="none" w:sz="0" w:space="0" w:color="auto"/>
            <w:bottom w:val="none" w:sz="0" w:space="0" w:color="auto"/>
            <w:right w:val="none" w:sz="0" w:space="0" w:color="auto"/>
          </w:divBdr>
          <w:divsChild>
            <w:div w:id="57438520">
              <w:marLeft w:val="0"/>
              <w:marRight w:val="0"/>
              <w:marTop w:val="0"/>
              <w:marBottom w:val="0"/>
              <w:divBdr>
                <w:top w:val="none" w:sz="0" w:space="0" w:color="auto"/>
                <w:left w:val="none" w:sz="0" w:space="0" w:color="auto"/>
                <w:bottom w:val="none" w:sz="0" w:space="0" w:color="auto"/>
                <w:right w:val="none" w:sz="0" w:space="0" w:color="auto"/>
              </w:divBdr>
            </w:div>
          </w:divsChild>
        </w:div>
        <w:div w:id="1371877443">
          <w:marLeft w:val="0"/>
          <w:marRight w:val="0"/>
          <w:marTop w:val="0"/>
          <w:marBottom w:val="0"/>
          <w:divBdr>
            <w:top w:val="none" w:sz="0" w:space="0" w:color="auto"/>
            <w:left w:val="none" w:sz="0" w:space="0" w:color="auto"/>
            <w:bottom w:val="none" w:sz="0" w:space="0" w:color="auto"/>
            <w:right w:val="none" w:sz="0" w:space="0" w:color="auto"/>
          </w:divBdr>
          <w:divsChild>
            <w:div w:id="254485559">
              <w:marLeft w:val="0"/>
              <w:marRight w:val="0"/>
              <w:marTop w:val="0"/>
              <w:marBottom w:val="0"/>
              <w:divBdr>
                <w:top w:val="none" w:sz="0" w:space="0" w:color="auto"/>
                <w:left w:val="none" w:sz="0" w:space="0" w:color="auto"/>
                <w:bottom w:val="none" w:sz="0" w:space="0" w:color="auto"/>
                <w:right w:val="none" w:sz="0" w:space="0" w:color="auto"/>
              </w:divBdr>
            </w:div>
          </w:divsChild>
        </w:div>
        <w:div w:id="878786836">
          <w:marLeft w:val="0"/>
          <w:marRight w:val="0"/>
          <w:marTop w:val="0"/>
          <w:marBottom w:val="0"/>
          <w:divBdr>
            <w:top w:val="none" w:sz="0" w:space="0" w:color="auto"/>
            <w:left w:val="none" w:sz="0" w:space="0" w:color="auto"/>
            <w:bottom w:val="none" w:sz="0" w:space="0" w:color="auto"/>
            <w:right w:val="none" w:sz="0" w:space="0" w:color="auto"/>
          </w:divBdr>
          <w:divsChild>
            <w:div w:id="45568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543927">
      <w:bodyDiv w:val="1"/>
      <w:marLeft w:val="0"/>
      <w:marRight w:val="0"/>
      <w:marTop w:val="0"/>
      <w:marBottom w:val="0"/>
      <w:divBdr>
        <w:top w:val="none" w:sz="0" w:space="0" w:color="auto"/>
        <w:left w:val="none" w:sz="0" w:space="0" w:color="auto"/>
        <w:bottom w:val="none" w:sz="0" w:space="0" w:color="auto"/>
        <w:right w:val="none" w:sz="0" w:space="0" w:color="auto"/>
      </w:divBdr>
    </w:div>
    <w:div w:id="1217279249">
      <w:bodyDiv w:val="1"/>
      <w:marLeft w:val="0"/>
      <w:marRight w:val="0"/>
      <w:marTop w:val="0"/>
      <w:marBottom w:val="0"/>
      <w:divBdr>
        <w:top w:val="none" w:sz="0" w:space="0" w:color="auto"/>
        <w:left w:val="none" w:sz="0" w:space="0" w:color="auto"/>
        <w:bottom w:val="none" w:sz="0" w:space="0" w:color="auto"/>
        <w:right w:val="none" w:sz="0" w:space="0" w:color="auto"/>
      </w:divBdr>
    </w:div>
    <w:div w:id="1218397501">
      <w:bodyDiv w:val="1"/>
      <w:marLeft w:val="0"/>
      <w:marRight w:val="0"/>
      <w:marTop w:val="0"/>
      <w:marBottom w:val="0"/>
      <w:divBdr>
        <w:top w:val="none" w:sz="0" w:space="0" w:color="auto"/>
        <w:left w:val="none" w:sz="0" w:space="0" w:color="auto"/>
        <w:bottom w:val="none" w:sz="0" w:space="0" w:color="auto"/>
        <w:right w:val="none" w:sz="0" w:space="0" w:color="auto"/>
      </w:divBdr>
      <w:divsChild>
        <w:div w:id="636687880">
          <w:blockQuote w:val="1"/>
          <w:marLeft w:val="720"/>
          <w:marRight w:val="720"/>
          <w:marTop w:val="100"/>
          <w:marBottom w:val="100"/>
          <w:divBdr>
            <w:top w:val="none" w:sz="0" w:space="0" w:color="auto"/>
            <w:left w:val="none" w:sz="0" w:space="0" w:color="auto"/>
            <w:bottom w:val="none" w:sz="0" w:space="0" w:color="auto"/>
            <w:right w:val="none" w:sz="0" w:space="0" w:color="auto"/>
          </w:divBdr>
        </w:div>
        <w:div w:id="8002234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4679489">
      <w:bodyDiv w:val="1"/>
      <w:marLeft w:val="0"/>
      <w:marRight w:val="0"/>
      <w:marTop w:val="0"/>
      <w:marBottom w:val="0"/>
      <w:divBdr>
        <w:top w:val="none" w:sz="0" w:space="0" w:color="auto"/>
        <w:left w:val="none" w:sz="0" w:space="0" w:color="auto"/>
        <w:bottom w:val="none" w:sz="0" w:space="0" w:color="auto"/>
        <w:right w:val="none" w:sz="0" w:space="0" w:color="auto"/>
      </w:divBdr>
    </w:div>
    <w:div w:id="1324162743">
      <w:bodyDiv w:val="1"/>
      <w:marLeft w:val="0"/>
      <w:marRight w:val="0"/>
      <w:marTop w:val="0"/>
      <w:marBottom w:val="0"/>
      <w:divBdr>
        <w:top w:val="none" w:sz="0" w:space="0" w:color="auto"/>
        <w:left w:val="none" w:sz="0" w:space="0" w:color="auto"/>
        <w:bottom w:val="none" w:sz="0" w:space="0" w:color="auto"/>
        <w:right w:val="none" w:sz="0" w:space="0" w:color="auto"/>
      </w:divBdr>
    </w:div>
    <w:div w:id="1397169035">
      <w:bodyDiv w:val="1"/>
      <w:marLeft w:val="0"/>
      <w:marRight w:val="0"/>
      <w:marTop w:val="0"/>
      <w:marBottom w:val="0"/>
      <w:divBdr>
        <w:top w:val="none" w:sz="0" w:space="0" w:color="auto"/>
        <w:left w:val="none" w:sz="0" w:space="0" w:color="auto"/>
        <w:bottom w:val="none" w:sz="0" w:space="0" w:color="auto"/>
        <w:right w:val="none" w:sz="0" w:space="0" w:color="auto"/>
      </w:divBdr>
    </w:div>
    <w:div w:id="1407453702">
      <w:bodyDiv w:val="1"/>
      <w:marLeft w:val="0"/>
      <w:marRight w:val="0"/>
      <w:marTop w:val="0"/>
      <w:marBottom w:val="0"/>
      <w:divBdr>
        <w:top w:val="none" w:sz="0" w:space="0" w:color="auto"/>
        <w:left w:val="none" w:sz="0" w:space="0" w:color="auto"/>
        <w:bottom w:val="none" w:sz="0" w:space="0" w:color="auto"/>
        <w:right w:val="none" w:sz="0" w:space="0" w:color="auto"/>
      </w:divBdr>
    </w:div>
    <w:div w:id="1473981427">
      <w:bodyDiv w:val="1"/>
      <w:marLeft w:val="0"/>
      <w:marRight w:val="0"/>
      <w:marTop w:val="0"/>
      <w:marBottom w:val="0"/>
      <w:divBdr>
        <w:top w:val="none" w:sz="0" w:space="0" w:color="auto"/>
        <w:left w:val="none" w:sz="0" w:space="0" w:color="auto"/>
        <w:bottom w:val="none" w:sz="0" w:space="0" w:color="auto"/>
        <w:right w:val="none" w:sz="0" w:space="0" w:color="auto"/>
      </w:divBdr>
    </w:div>
    <w:div w:id="1494905927">
      <w:bodyDiv w:val="1"/>
      <w:marLeft w:val="0"/>
      <w:marRight w:val="0"/>
      <w:marTop w:val="0"/>
      <w:marBottom w:val="0"/>
      <w:divBdr>
        <w:top w:val="none" w:sz="0" w:space="0" w:color="auto"/>
        <w:left w:val="none" w:sz="0" w:space="0" w:color="auto"/>
        <w:bottom w:val="none" w:sz="0" w:space="0" w:color="auto"/>
        <w:right w:val="none" w:sz="0" w:space="0" w:color="auto"/>
      </w:divBdr>
    </w:div>
    <w:div w:id="1546482522">
      <w:bodyDiv w:val="1"/>
      <w:marLeft w:val="0"/>
      <w:marRight w:val="0"/>
      <w:marTop w:val="0"/>
      <w:marBottom w:val="0"/>
      <w:divBdr>
        <w:top w:val="none" w:sz="0" w:space="0" w:color="auto"/>
        <w:left w:val="none" w:sz="0" w:space="0" w:color="auto"/>
        <w:bottom w:val="none" w:sz="0" w:space="0" w:color="auto"/>
        <w:right w:val="none" w:sz="0" w:space="0" w:color="auto"/>
      </w:divBdr>
    </w:div>
    <w:div w:id="1569269204">
      <w:bodyDiv w:val="1"/>
      <w:marLeft w:val="0"/>
      <w:marRight w:val="0"/>
      <w:marTop w:val="0"/>
      <w:marBottom w:val="0"/>
      <w:divBdr>
        <w:top w:val="none" w:sz="0" w:space="0" w:color="auto"/>
        <w:left w:val="none" w:sz="0" w:space="0" w:color="auto"/>
        <w:bottom w:val="none" w:sz="0" w:space="0" w:color="auto"/>
        <w:right w:val="none" w:sz="0" w:space="0" w:color="auto"/>
      </w:divBdr>
      <w:divsChild>
        <w:div w:id="2101028089">
          <w:marLeft w:val="0"/>
          <w:marRight w:val="0"/>
          <w:marTop w:val="0"/>
          <w:marBottom w:val="0"/>
          <w:divBdr>
            <w:top w:val="none" w:sz="0" w:space="0" w:color="auto"/>
            <w:left w:val="none" w:sz="0" w:space="0" w:color="auto"/>
            <w:bottom w:val="none" w:sz="0" w:space="0" w:color="auto"/>
            <w:right w:val="none" w:sz="0" w:space="0" w:color="auto"/>
          </w:divBdr>
          <w:divsChild>
            <w:div w:id="442461555">
              <w:marLeft w:val="0"/>
              <w:marRight w:val="0"/>
              <w:marTop w:val="0"/>
              <w:marBottom w:val="0"/>
              <w:divBdr>
                <w:top w:val="none" w:sz="0" w:space="0" w:color="auto"/>
                <w:left w:val="none" w:sz="0" w:space="0" w:color="auto"/>
                <w:bottom w:val="none" w:sz="0" w:space="0" w:color="auto"/>
                <w:right w:val="none" w:sz="0" w:space="0" w:color="auto"/>
              </w:divBdr>
            </w:div>
          </w:divsChild>
        </w:div>
        <w:div w:id="1210260738">
          <w:marLeft w:val="0"/>
          <w:marRight w:val="0"/>
          <w:marTop w:val="0"/>
          <w:marBottom w:val="0"/>
          <w:divBdr>
            <w:top w:val="none" w:sz="0" w:space="0" w:color="auto"/>
            <w:left w:val="none" w:sz="0" w:space="0" w:color="auto"/>
            <w:bottom w:val="none" w:sz="0" w:space="0" w:color="auto"/>
            <w:right w:val="none" w:sz="0" w:space="0" w:color="auto"/>
          </w:divBdr>
          <w:divsChild>
            <w:div w:id="9918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605813">
      <w:bodyDiv w:val="1"/>
      <w:marLeft w:val="0"/>
      <w:marRight w:val="0"/>
      <w:marTop w:val="0"/>
      <w:marBottom w:val="0"/>
      <w:divBdr>
        <w:top w:val="none" w:sz="0" w:space="0" w:color="auto"/>
        <w:left w:val="none" w:sz="0" w:space="0" w:color="auto"/>
        <w:bottom w:val="none" w:sz="0" w:space="0" w:color="auto"/>
        <w:right w:val="none" w:sz="0" w:space="0" w:color="auto"/>
      </w:divBdr>
    </w:div>
    <w:div w:id="1665358704">
      <w:bodyDiv w:val="1"/>
      <w:marLeft w:val="0"/>
      <w:marRight w:val="0"/>
      <w:marTop w:val="0"/>
      <w:marBottom w:val="0"/>
      <w:divBdr>
        <w:top w:val="none" w:sz="0" w:space="0" w:color="auto"/>
        <w:left w:val="none" w:sz="0" w:space="0" w:color="auto"/>
        <w:bottom w:val="none" w:sz="0" w:space="0" w:color="auto"/>
        <w:right w:val="none" w:sz="0" w:space="0" w:color="auto"/>
      </w:divBdr>
    </w:div>
    <w:div w:id="1691490542">
      <w:bodyDiv w:val="1"/>
      <w:marLeft w:val="0"/>
      <w:marRight w:val="0"/>
      <w:marTop w:val="0"/>
      <w:marBottom w:val="0"/>
      <w:divBdr>
        <w:top w:val="none" w:sz="0" w:space="0" w:color="auto"/>
        <w:left w:val="none" w:sz="0" w:space="0" w:color="auto"/>
        <w:bottom w:val="none" w:sz="0" w:space="0" w:color="auto"/>
        <w:right w:val="none" w:sz="0" w:space="0" w:color="auto"/>
      </w:divBdr>
    </w:div>
    <w:div w:id="1696344066">
      <w:bodyDiv w:val="1"/>
      <w:marLeft w:val="0"/>
      <w:marRight w:val="0"/>
      <w:marTop w:val="0"/>
      <w:marBottom w:val="0"/>
      <w:divBdr>
        <w:top w:val="none" w:sz="0" w:space="0" w:color="auto"/>
        <w:left w:val="none" w:sz="0" w:space="0" w:color="auto"/>
        <w:bottom w:val="none" w:sz="0" w:space="0" w:color="auto"/>
        <w:right w:val="none" w:sz="0" w:space="0" w:color="auto"/>
      </w:divBdr>
    </w:div>
    <w:div w:id="1780097973">
      <w:bodyDiv w:val="1"/>
      <w:marLeft w:val="0"/>
      <w:marRight w:val="0"/>
      <w:marTop w:val="0"/>
      <w:marBottom w:val="0"/>
      <w:divBdr>
        <w:top w:val="none" w:sz="0" w:space="0" w:color="auto"/>
        <w:left w:val="none" w:sz="0" w:space="0" w:color="auto"/>
        <w:bottom w:val="none" w:sz="0" w:space="0" w:color="auto"/>
        <w:right w:val="none" w:sz="0" w:space="0" w:color="auto"/>
      </w:divBdr>
    </w:div>
    <w:div w:id="1891648706">
      <w:bodyDiv w:val="1"/>
      <w:marLeft w:val="0"/>
      <w:marRight w:val="0"/>
      <w:marTop w:val="0"/>
      <w:marBottom w:val="0"/>
      <w:divBdr>
        <w:top w:val="none" w:sz="0" w:space="0" w:color="auto"/>
        <w:left w:val="none" w:sz="0" w:space="0" w:color="auto"/>
        <w:bottom w:val="none" w:sz="0" w:space="0" w:color="auto"/>
        <w:right w:val="none" w:sz="0" w:space="0" w:color="auto"/>
      </w:divBdr>
    </w:div>
    <w:div w:id="1984501757">
      <w:bodyDiv w:val="1"/>
      <w:marLeft w:val="0"/>
      <w:marRight w:val="0"/>
      <w:marTop w:val="0"/>
      <w:marBottom w:val="0"/>
      <w:divBdr>
        <w:top w:val="none" w:sz="0" w:space="0" w:color="auto"/>
        <w:left w:val="none" w:sz="0" w:space="0" w:color="auto"/>
        <w:bottom w:val="none" w:sz="0" w:space="0" w:color="auto"/>
        <w:right w:val="none" w:sz="0" w:space="0" w:color="auto"/>
      </w:divBdr>
    </w:div>
    <w:div w:id="1987934967">
      <w:bodyDiv w:val="1"/>
      <w:marLeft w:val="0"/>
      <w:marRight w:val="0"/>
      <w:marTop w:val="0"/>
      <w:marBottom w:val="0"/>
      <w:divBdr>
        <w:top w:val="none" w:sz="0" w:space="0" w:color="auto"/>
        <w:left w:val="none" w:sz="0" w:space="0" w:color="auto"/>
        <w:bottom w:val="none" w:sz="0" w:space="0" w:color="auto"/>
        <w:right w:val="none" w:sz="0" w:space="0" w:color="auto"/>
      </w:divBdr>
    </w:div>
    <w:div w:id="2063406317">
      <w:bodyDiv w:val="1"/>
      <w:marLeft w:val="0"/>
      <w:marRight w:val="0"/>
      <w:marTop w:val="0"/>
      <w:marBottom w:val="0"/>
      <w:divBdr>
        <w:top w:val="none" w:sz="0" w:space="0" w:color="auto"/>
        <w:left w:val="none" w:sz="0" w:space="0" w:color="auto"/>
        <w:bottom w:val="none" w:sz="0" w:space="0" w:color="auto"/>
        <w:right w:val="none" w:sz="0" w:space="0" w:color="auto"/>
      </w:divBdr>
    </w:div>
    <w:div w:id="2069381665">
      <w:bodyDiv w:val="1"/>
      <w:marLeft w:val="0"/>
      <w:marRight w:val="0"/>
      <w:marTop w:val="0"/>
      <w:marBottom w:val="0"/>
      <w:divBdr>
        <w:top w:val="none" w:sz="0" w:space="0" w:color="auto"/>
        <w:left w:val="none" w:sz="0" w:space="0" w:color="auto"/>
        <w:bottom w:val="none" w:sz="0" w:space="0" w:color="auto"/>
        <w:right w:val="none" w:sz="0" w:space="0" w:color="auto"/>
      </w:divBdr>
    </w:div>
    <w:div w:id="2109958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zamratulain025@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bdurahman@fbs.unp.ac.id"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zamratulain025@gmail.com" TargetMode="External"/><Relationship Id="rId4" Type="http://schemas.openxmlformats.org/officeDocument/2006/relationships/settings" Target="settings.xml"/><Relationship Id="rId9" Type="http://schemas.openxmlformats.org/officeDocument/2006/relationships/hyperlink" Target="https://journal.jfpublisher.com/index.php/sujana"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Eva151</b:Tag>
    <b:SourceType>JournalArticle</b:SourceType>
    <b:Guid>{138CB561-0A96-4C1D-94B3-E57F1D1D0FD6}</b:Guid>
    <b:Author>
      <b:Author>
        <b:Corporate>Evans, L., Baskerville, R., &amp; Nara, K</b:Corporate>
      </b:Author>
    </b:Author>
    <b:Title>Colliding Worlds" Issues Relating to Language Translation in Accounring and Some Lessons From Other Disciplines</b:Title>
    <b:JournalName>Abacus</b:JournalName>
    <b:Year>2015</b:Year>
    <b:Pages>1-36</b:Pages>
    <b:RefOrder>1</b:RefOrder>
  </b:Source>
  <b:Source>
    <b:Tag>Gie14</b:Tag>
    <b:SourceType>JournalArticle</b:SourceType>
    <b:Guid>{7E285CCA-AF6F-4AD8-B2F6-B5CAA463BDA4}</b:Guid>
    <b:Author>
      <b:Author>
        <b:Corporate>Gierusz, J., Koleśnik, K., &amp; SilskaGembka, S. </b:Corporate>
      </b:Author>
    </b:Author>
    <b:Title>The Impact of Culture on Interpreting International FInancial Reporting Standards in Poland. A Comparative Analysis With Germany and Great Britain</b:Title>
    <b:JournalName>Zeszyty Teoretyczne Rachunkowości,</b:JournalName>
    <b:Year>2014</b:Year>
    <b:Pages>87-107</b:Pages>
    <b:RefOrder>2</b:RefOrder>
  </b:Source>
</b:Sources>
</file>

<file path=customXml/itemProps1.xml><?xml version="1.0" encoding="utf-8"?>
<ds:datastoreItem xmlns:ds="http://schemas.openxmlformats.org/officeDocument/2006/customXml" ds:itemID="{F65C7A12-8995-4416-9C23-9CC5E5EFC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16</Pages>
  <Words>28371</Words>
  <Characters>161718</Characters>
  <Application>Microsoft Office Word</Application>
  <DocSecurity>0</DocSecurity>
  <Lines>1347</Lines>
  <Paragraphs>379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Bryli</dc:creator>
  <cp:lastModifiedBy>Reviewer</cp:lastModifiedBy>
  <cp:revision>6</cp:revision>
  <cp:lastPrinted>2026-08-06T02:11:00Z</cp:lastPrinted>
  <dcterms:created xsi:type="dcterms:W3CDTF">2026-07-27T04:25:00Z</dcterms:created>
  <dcterms:modified xsi:type="dcterms:W3CDTF">2026-08-06T02:11:00Z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http://www.zotero.org/styles/apa</vt:lpwstr>
  </property>
  <property fmtid="{D5CDD505-2E9C-101B-9397-08002B2CF9AE}" pid="3" name="Mendeley Document_1">
    <vt:lpwstr>True</vt:lpwstr>
  </property>
  <property fmtid="{D5CDD505-2E9C-101B-9397-08002B2CF9AE}" pid="4" name="Mendeley Recent Style Id 0_1">
    <vt:lpwstr>http://www.zotero.org/styles/american-medical-association</vt:lpwstr>
  </property>
  <property fmtid="{D5CDD505-2E9C-101B-9397-08002B2CF9AE}" pid="5" name="Mendeley Recent Style Id 1_1">
    <vt:lpwstr>http://www.zotero.org/styles/american-political-science-association</vt:lpwstr>
  </property>
  <property fmtid="{D5CDD505-2E9C-101B-9397-08002B2CF9AE}" pid="6" name="Mendeley Recent Style Id 2_1">
    <vt:lpwstr>http://www.zotero.org/styles/american-sociological-association</vt:lpwstr>
  </property>
  <property fmtid="{D5CDD505-2E9C-101B-9397-08002B2CF9AE}" pid="7" name="Mendeley Recent Style Id 3_1">
    <vt:lpwstr>http://www.zotero.org/styles/apa</vt:lpwstr>
  </property>
  <property fmtid="{D5CDD505-2E9C-101B-9397-08002B2CF9AE}" pid="8" name="Mendeley Recent Style Id 4_1">
    <vt:lpwstr>http://www.zotero.org/styles/chicago-fullnote-bibliography</vt:lpwstr>
  </property>
  <property fmtid="{D5CDD505-2E9C-101B-9397-08002B2CF9AE}" pid="9" name="Mendeley Recent Style Id 5_1">
    <vt:lpwstr>http://www.zotero.org/styles/chicago-author-date</vt:lpwstr>
  </property>
  <property fmtid="{D5CDD505-2E9C-101B-9397-08002B2CF9AE}" pid="10" name="Mendeley Recent Style Id 6_1">
    <vt:lpwstr>http://www.zotero.org/styles/harvard1</vt:lpwstr>
  </property>
  <property fmtid="{D5CDD505-2E9C-101B-9397-08002B2CF9AE}" pid="11" name="Mendeley Recent Style Id 7_1">
    <vt:lpwstr>http://www.zotero.org/styles/ieee</vt:lpwstr>
  </property>
  <property fmtid="{D5CDD505-2E9C-101B-9397-08002B2CF9AE}" pid="12" name="Mendeley Recent Style Id 8_1">
    <vt:lpwstr>http://www.zotero.org/styles/turabian-notes-bibliography</vt:lpwstr>
  </property>
  <property fmtid="{D5CDD505-2E9C-101B-9397-08002B2CF9AE}" pid="13" name="Mendeley Recent Style Id 9_1">
    <vt:lpwstr>http://www.zotero.org/styles/vancouver</vt:lpwstr>
  </property>
  <property fmtid="{D5CDD505-2E9C-101B-9397-08002B2CF9AE}" pid="14" name="Mendeley Recent Style Name 0_1">
    <vt:lpwstr>AMA Manual of Style 11th edition</vt:lpwstr>
  </property>
  <property fmtid="{D5CDD505-2E9C-101B-9397-08002B2CF9AE}" pid="15" name="Mendeley Recent Style Name 1_1">
    <vt:lpwstr>APSA Style Manual revised 2018 edition</vt:lpwstr>
  </property>
  <property fmtid="{D5CDD505-2E9C-101B-9397-08002B2CF9AE}" pid="16" name="Mendeley Recent Style Name 2_1">
    <vt:lpwstr>ASA Style Guide 6th/7th edition</vt:lpwstr>
  </property>
  <property fmtid="{D5CDD505-2E9C-101B-9397-08002B2CF9AE}" pid="17" name="Mendeley Recent Style Name 3_1">
    <vt:lpwstr>American Psychological Association 7th edition</vt:lpwstr>
  </property>
  <property fmtid="{D5CDD505-2E9C-101B-9397-08002B2CF9AE}" pid="18" name="Mendeley Recent Style Name 4_1">
    <vt:lpwstr>Chicago Manual of Style 17th edition (full note)</vt:lpwstr>
  </property>
  <property fmtid="{D5CDD505-2E9C-101B-9397-08002B2CF9AE}" pid="19" name="Mendeley Recent Style Name 5_1">
    <vt:lpwstr>Chicago Manual of Style 18th edition (author-date)</vt:lpwstr>
  </property>
  <property fmtid="{D5CDD505-2E9C-101B-9397-08002B2CF9AE}" pid="20" name="Mendeley Recent Style Name 6_1">
    <vt:lpwstr>Harvard reference format 1 (deprecated)</vt:lpwstr>
  </property>
  <property fmtid="{D5CDD505-2E9C-101B-9397-08002B2CF9AE}" pid="21" name="Mendeley Recent Style Name 7_1">
    <vt:lpwstr>IEEE Reference Guide version 11.29.2023</vt:lpwstr>
  </property>
  <property fmtid="{D5CDD505-2E9C-101B-9397-08002B2CF9AE}" pid="22" name="Mendeley Recent Style Name 8_1">
    <vt:lpwstr>Turabian 9th edition (notes and bibliography)</vt:lpwstr>
  </property>
  <property fmtid="{D5CDD505-2E9C-101B-9397-08002B2CF9AE}" pid="23" name="Mendeley Recent Style Name 9_1">
    <vt:lpwstr>Vancouver</vt:lpwstr>
  </property>
  <property fmtid="{D5CDD505-2E9C-101B-9397-08002B2CF9AE}" pid="24" name="Mendeley Unique User Id_1">
    <vt:lpwstr>8694c3f3-936d-3841-9bec-b54ec82ff818</vt:lpwstr>
  </property>
</Properties>
</file>